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7481DE" w14:textId="77777777" w:rsidR="00AC55C0" w:rsidRPr="00637B52" w:rsidRDefault="00AC55C0" w:rsidP="001E5206">
      <w:pPr>
        <w:spacing w:after="0"/>
        <w:jc w:val="center"/>
        <w:rPr>
          <w:rFonts w:ascii="Poppins" w:hAnsi="Poppins" w:cs="Poppins"/>
          <w:b/>
          <w:bCs/>
          <w:sz w:val="16"/>
          <w:szCs w:val="16"/>
          <w:u w:val="single"/>
          <w:lang w:val="en-US"/>
        </w:rPr>
      </w:pPr>
    </w:p>
    <w:p w14:paraId="2FB413C6" w14:textId="0D66165C" w:rsidR="001E5206" w:rsidRPr="00637B52" w:rsidRDefault="001E5206" w:rsidP="001E5206">
      <w:pPr>
        <w:spacing w:after="0"/>
        <w:jc w:val="center"/>
        <w:rPr>
          <w:rFonts w:ascii="Poppins" w:hAnsi="Poppins" w:cs="Poppins"/>
          <w:b/>
          <w:bCs/>
          <w:sz w:val="28"/>
          <w:szCs w:val="28"/>
          <w:u w:val="single"/>
          <w:lang w:val="en-US"/>
        </w:rPr>
      </w:pPr>
      <w:r w:rsidRPr="00637B52">
        <w:rPr>
          <w:rFonts w:ascii="Poppins" w:hAnsi="Poppins" w:cs="Poppins"/>
          <w:b/>
          <w:bCs/>
          <w:sz w:val="28"/>
          <w:szCs w:val="28"/>
          <w:u w:val="single"/>
          <w:lang w:val="en-US"/>
        </w:rPr>
        <w:t xml:space="preserve">SVP </w:t>
      </w:r>
      <w:r w:rsidR="00ED7300" w:rsidRPr="00637B52">
        <w:rPr>
          <w:rFonts w:ascii="Poppins" w:hAnsi="Poppins" w:cs="Poppins"/>
          <w:b/>
          <w:bCs/>
          <w:sz w:val="28"/>
          <w:szCs w:val="28"/>
          <w:u w:val="single"/>
          <w:lang w:val="en-US"/>
        </w:rPr>
        <w:t>Gender Pay Gap 2024</w:t>
      </w:r>
    </w:p>
    <w:p w14:paraId="0318E266" w14:textId="77777777" w:rsidR="000B5744" w:rsidRPr="00637B52" w:rsidRDefault="000B5744" w:rsidP="001E5206">
      <w:pPr>
        <w:spacing w:after="0"/>
        <w:rPr>
          <w:rFonts w:ascii="Poppins" w:hAnsi="Poppins" w:cs="Poppins"/>
          <w:b/>
          <w:bCs/>
          <w:u w:val="single"/>
          <w:lang w:val="en-US"/>
        </w:rPr>
      </w:pPr>
    </w:p>
    <w:p w14:paraId="2C6CD4DF" w14:textId="650A5EAB" w:rsidR="00B017B8" w:rsidRPr="00637B52" w:rsidRDefault="002B6D80" w:rsidP="001E5206">
      <w:pPr>
        <w:spacing w:after="0"/>
        <w:rPr>
          <w:rFonts w:ascii="Poppins" w:hAnsi="Poppins" w:cs="Poppins"/>
          <w:lang w:val="en-US"/>
        </w:rPr>
      </w:pPr>
      <w:r w:rsidRPr="00637B52">
        <w:rPr>
          <w:rFonts w:ascii="Poppins" w:hAnsi="Poppins" w:cs="Poppins"/>
          <w:lang w:val="en-US"/>
        </w:rPr>
        <w:t xml:space="preserve">In the UK, </w:t>
      </w:r>
      <w:proofErr w:type="spellStart"/>
      <w:r w:rsidRPr="00637B52">
        <w:rPr>
          <w:rFonts w:ascii="Poppins" w:hAnsi="Poppins" w:cs="Poppins"/>
          <w:lang w:val="en-US"/>
        </w:rPr>
        <w:t>organisations</w:t>
      </w:r>
      <w:proofErr w:type="spellEnd"/>
      <w:r w:rsidRPr="00637B52">
        <w:rPr>
          <w:rFonts w:ascii="Poppins" w:hAnsi="Poppins" w:cs="Poppins"/>
          <w:lang w:val="en-US"/>
        </w:rPr>
        <w:t xml:space="preserve"> with 250 or more employees must report on their gender pay gap annually</w:t>
      </w:r>
      <w:r w:rsidR="004C38A4" w:rsidRPr="00637B52">
        <w:rPr>
          <w:rFonts w:ascii="Poppins" w:hAnsi="Poppins" w:cs="Poppins"/>
          <w:lang w:val="en-US"/>
        </w:rPr>
        <w:t xml:space="preserve"> which </w:t>
      </w:r>
      <w:r w:rsidRPr="00637B52">
        <w:rPr>
          <w:rFonts w:ascii="Poppins" w:hAnsi="Poppins" w:cs="Poppins"/>
          <w:lang w:val="en-US"/>
        </w:rPr>
        <w:t>shows the difference between the average earnings of men and women relative to men’s earnings.</w:t>
      </w:r>
      <w:r w:rsidR="008B49C6" w:rsidRPr="00637B52">
        <w:rPr>
          <w:rFonts w:ascii="Poppins" w:hAnsi="Poppins" w:cs="Poppins"/>
          <w:lang w:val="en-US"/>
        </w:rPr>
        <w:t xml:space="preserve"> </w:t>
      </w:r>
      <w:r w:rsidR="00B017B8" w:rsidRPr="00637B52">
        <w:rPr>
          <w:rFonts w:ascii="Poppins" w:hAnsi="Poppins" w:cs="Poppins"/>
          <w:lang w:val="en-US"/>
        </w:rPr>
        <w:t>The snapshot date for data in this report is the 5</w:t>
      </w:r>
      <w:r w:rsidR="00B017B8" w:rsidRPr="00637B52">
        <w:rPr>
          <w:rFonts w:ascii="Poppins" w:hAnsi="Poppins" w:cs="Poppins"/>
          <w:vertAlign w:val="superscript"/>
          <w:lang w:val="en-US"/>
        </w:rPr>
        <w:t>th</w:t>
      </w:r>
      <w:r w:rsidR="00B017B8" w:rsidRPr="00637B52">
        <w:rPr>
          <w:rFonts w:ascii="Poppins" w:hAnsi="Poppins" w:cs="Poppins"/>
          <w:lang w:val="en-US"/>
        </w:rPr>
        <w:t xml:space="preserve"> April 2024.</w:t>
      </w:r>
    </w:p>
    <w:p w14:paraId="75D23877" w14:textId="77777777" w:rsidR="00BB1505" w:rsidRPr="00637B52" w:rsidRDefault="00BB1505" w:rsidP="001E5206">
      <w:pPr>
        <w:spacing w:after="0"/>
        <w:rPr>
          <w:rFonts w:ascii="Poppins" w:hAnsi="Poppins" w:cs="Poppins"/>
          <w:lang w:val="en-US"/>
        </w:rPr>
      </w:pPr>
    </w:p>
    <w:p w14:paraId="632F1E93" w14:textId="77777777" w:rsidR="00BB1505" w:rsidRPr="00637B52" w:rsidRDefault="00BB1505" w:rsidP="00BB1505">
      <w:pPr>
        <w:spacing w:after="0"/>
        <w:rPr>
          <w:rFonts w:ascii="Poppins" w:hAnsi="Poppins" w:cs="Poppins"/>
          <w:lang w:val="en-US"/>
        </w:rPr>
      </w:pPr>
      <w:r w:rsidRPr="00637B52">
        <w:rPr>
          <w:rFonts w:ascii="Poppins" w:hAnsi="Poppins" w:cs="Poppins"/>
          <w:lang w:val="en-US"/>
        </w:rPr>
        <w:t>The SVP workforce includes contracted employees and casual workers and is made up of 409 workers in total – 125 males and 284 females. At the time of analysis, of the 409 relevant employees, 375 are defined as full pay relevant employees. Here is a breakdown by gender:</w:t>
      </w:r>
    </w:p>
    <w:p w14:paraId="03976CA1" w14:textId="77777777" w:rsidR="00BB1505" w:rsidRPr="00637B52" w:rsidRDefault="00BB1505" w:rsidP="001E5206">
      <w:pPr>
        <w:spacing w:after="0"/>
        <w:rPr>
          <w:rFonts w:ascii="Poppins" w:hAnsi="Poppins" w:cs="Poppins"/>
          <w:lang w:val="en-US"/>
        </w:rPr>
      </w:pPr>
    </w:p>
    <w:p w14:paraId="44351067" w14:textId="42C31416" w:rsidR="00BB1505" w:rsidRPr="00637B52" w:rsidRDefault="00BB1505" w:rsidP="001E5206">
      <w:pPr>
        <w:spacing w:after="0"/>
        <w:rPr>
          <w:rFonts w:ascii="Poppins" w:hAnsi="Poppins" w:cs="Poppins"/>
          <w:lang w:val="en-US"/>
        </w:rPr>
      </w:pPr>
      <w:r w:rsidRPr="00637B52">
        <w:rPr>
          <w:rFonts w:ascii="Poppins" w:hAnsi="Poppins" w:cs="Poppins"/>
          <w:noProof/>
        </w:rPr>
        <w:drawing>
          <wp:inline distT="0" distB="0" distL="0" distR="0" wp14:anchorId="50E67392" wp14:editId="0DE06901">
            <wp:extent cx="5731510" cy="3371850"/>
            <wp:effectExtent l="0" t="0" r="2540" b="0"/>
            <wp:docPr id="318498102" name="Chart 1">
              <a:extLst xmlns:a="http://schemas.openxmlformats.org/drawingml/2006/main">
                <a:ext uri="{FF2B5EF4-FFF2-40B4-BE49-F238E27FC236}">
                  <a16:creationId xmlns:a16="http://schemas.microsoft.com/office/drawing/2014/main" id="{374612C2-AE4A-56DA-C879-520593EC146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5A7CBBA" w14:textId="77777777" w:rsidR="00447B6F" w:rsidRPr="00637B52" w:rsidRDefault="00447B6F" w:rsidP="001E5206">
      <w:pPr>
        <w:spacing w:after="0"/>
        <w:rPr>
          <w:rFonts w:ascii="Poppins" w:hAnsi="Poppins" w:cs="Poppins"/>
          <w:lang w:val="en-US"/>
        </w:rPr>
      </w:pPr>
    </w:p>
    <w:p w14:paraId="4D419675" w14:textId="375A4A7B" w:rsidR="00881F00" w:rsidRPr="00637B52" w:rsidRDefault="00881F00" w:rsidP="001E5206">
      <w:pPr>
        <w:spacing w:after="0"/>
        <w:rPr>
          <w:rFonts w:ascii="Poppins" w:hAnsi="Poppins" w:cs="Poppins"/>
          <w:lang w:val="en-US"/>
        </w:rPr>
      </w:pPr>
      <w:r w:rsidRPr="00637B52">
        <w:rPr>
          <w:rFonts w:ascii="Poppins" w:hAnsi="Poppins" w:cs="Poppins"/>
          <w:lang w:val="en-US"/>
        </w:rPr>
        <w:t>The SVP gender pay gap results this year are as follows:</w:t>
      </w:r>
    </w:p>
    <w:p w14:paraId="744E7443" w14:textId="77777777" w:rsidR="00881F00" w:rsidRPr="00637B52" w:rsidRDefault="00881F00" w:rsidP="001E5206">
      <w:pPr>
        <w:spacing w:after="0"/>
        <w:rPr>
          <w:rFonts w:ascii="Poppins" w:hAnsi="Poppins" w:cs="Poppins"/>
          <w:lang w:val="en-US"/>
        </w:rPr>
      </w:pPr>
    </w:p>
    <w:tbl>
      <w:tblPr>
        <w:tblStyle w:val="TableGrid"/>
        <w:tblW w:w="0" w:type="auto"/>
        <w:tblLook w:val="04A0" w:firstRow="1" w:lastRow="0" w:firstColumn="1" w:lastColumn="0" w:noHBand="0" w:noVBand="1"/>
      </w:tblPr>
      <w:tblGrid>
        <w:gridCol w:w="3005"/>
        <w:gridCol w:w="3005"/>
        <w:gridCol w:w="3006"/>
      </w:tblGrid>
      <w:tr w:rsidR="00447B6F" w:rsidRPr="00637B52" w14:paraId="41FD3769" w14:textId="77777777" w:rsidTr="00585362">
        <w:tc>
          <w:tcPr>
            <w:tcW w:w="9016" w:type="dxa"/>
            <w:gridSpan w:val="3"/>
          </w:tcPr>
          <w:p w14:paraId="4F7476C5" w14:textId="75FEC7EB" w:rsidR="00447B6F" w:rsidRPr="00637B52" w:rsidRDefault="00447B6F" w:rsidP="00447B6F">
            <w:pPr>
              <w:jc w:val="center"/>
              <w:rPr>
                <w:rFonts w:ascii="Poppins" w:hAnsi="Poppins" w:cs="Poppins"/>
                <w:lang w:val="en-US"/>
              </w:rPr>
            </w:pPr>
            <w:r w:rsidRPr="00637B52">
              <w:rPr>
                <w:rFonts w:ascii="Poppins" w:hAnsi="Poppins" w:cs="Poppins"/>
                <w:b/>
                <w:bCs/>
                <w:lang w:val="en-US"/>
              </w:rPr>
              <w:t>Difference between Men and Women</w:t>
            </w:r>
          </w:p>
        </w:tc>
      </w:tr>
      <w:tr w:rsidR="00447B6F" w:rsidRPr="00637B52" w14:paraId="7284FB15" w14:textId="77777777" w:rsidTr="00447B6F">
        <w:tc>
          <w:tcPr>
            <w:tcW w:w="3005" w:type="dxa"/>
          </w:tcPr>
          <w:p w14:paraId="2A439ACD" w14:textId="77777777" w:rsidR="00447B6F" w:rsidRPr="00637B52" w:rsidRDefault="00447B6F" w:rsidP="00447B6F">
            <w:pPr>
              <w:jc w:val="center"/>
              <w:rPr>
                <w:rFonts w:ascii="Poppins" w:hAnsi="Poppins" w:cs="Poppins"/>
                <w:lang w:val="en-US"/>
              </w:rPr>
            </w:pPr>
          </w:p>
        </w:tc>
        <w:tc>
          <w:tcPr>
            <w:tcW w:w="3005" w:type="dxa"/>
          </w:tcPr>
          <w:p w14:paraId="7E967446" w14:textId="3DF0DE4F" w:rsidR="00447B6F" w:rsidRPr="00637B52" w:rsidRDefault="00447B6F" w:rsidP="00447B6F">
            <w:pPr>
              <w:jc w:val="center"/>
              <w:rPr>
                <w:rFonts w:ascii="Poppins" w:hAnsi="Poppins" w:cs="Poppins"/>
                <w:lang w:val="en-US"/>
              </w:rPr>
            </w:pPr>
            <w:r w:rsidRPr="00637B52">
              <w:rPr>
                <w:rFonts w:ascii="Poppins" w:hAnsi="Poppins" w:cs="Poppins"/>
                <w:b/>
                <w:bCs/>
                <w:lang w:val="en-US"/>
              </w:rPr>
              <w:t>Mean</w:t>
            </w:r>
          </w:p>
        </w:tc>
        <w:tc>
          <w:tcPr>
            <w:tcW w:w="3006" w:type="dxa"/>
          </w:tcPr>
          <w:p w14:paraId="6CF79E68" w14:textId="0C2112C6" w:rsidR="00447B6F" w:rsidRPr="00637B52" w:rsidRDefault="00447B6F" w:rsidP="00447B6F">
            <w:pPr>
              <w:jc w:val="center"/>
              <w:rPr>
                <w:rFonts w:ascii="Poppins" w:hAnsi="Poppins" w:cs="Poppins"/>
                <w:lang w:val="en-US"/>
              </w:rPr>
            </w:pPr>
            <w:r w:rsidRPr="00637B52">
              <w:rPr>
                <w:rFonts w:ascii="Poppins" w:hAnsi="Poppins" w:cs="Poppins"/>
                <w:b/>
                <w:bCs/>
                <w:lang w:val="en-US"/>
              </w:rPr>
              <w:t>Median</w:t>
            </w:r>
          </w:p>
        </w:tc>
      </w:tr>
      <w:tr w:rsidR="00447B6F" w:rsidRPr="00637B52" w14:paraId="5FD3ECF7" w14:textId="77777777" w:rsidTr="00447B6F">
        <w:tc>
          <w:tcPr>
            <w:tcW w:w="3005" w:type="dxa"/>
          </w:tcPr>
          <w:p w14:paraId="72A145D8" w14:textId="2ECB5146" w:rsidR="00447B6F" w:rsidRPr="00637B52" w:rsidRDefault="00447B6F" w:rsidP="00447B6F">
            <w:pPr>
              <w:jc w:val="center"/>
              <w:rPr>
                <w:rFonts w:ascii="Poppins" w:hAnsi="Poppins" w:cs="Poppins"/>
                <w:lang w:val="en-US"/>
              </w:rPr>
            </w:pPr>
            <w:r w:rsidRPr="00637B52">
              <w:rPr>
                <w:rFonts w:ascii="Poppins" w:hAnsi="Poppins" w:cs="Poppins"/>
                <w:b/>
                <w:bCs/>
                <w:lang w:val="en-US"/>
              </w:rPr>
              <w:t>Pay Gap</w:t>
            </w:r>
          </w:p>
        </w:tc>
        <w:tc>
          <w:tcPr>
            <w:tcW w:w="3005" w:type="dxa"/>
          </w:tcPr>
          <w:p w14:paraId="30015AFE" w14:textId="7C28ADFC" w:rsidR="00447B6F" w:rsidRPr="00637B52" w:rsidRDefault="00447B6F" w:rsidP="00447B6F">
            <w:pPr>
              <w:jc w:val="center"/>
              <w:rPr>
                <w:rFonts w:ascii="Poppins" w:hAnsi="Poppins" w:cs="Poppins"/>
                <w:lang w:val="en-US"/>
              </w:rPr>
            </w:pPr>
            <w:r w:rsidRPr="00637B52">
              <w:rPr>
                <w:rFonts w:ascii="Poppins" w:hAnsi="Poppins" w:cs="Poppins"/>
                <w:lang w:val="en-US"/>
              </w:rPr>
              <w:t>2.02%</w:t>
            </w:r>
          </w:p>
        </w:tc>
        <w:tc>
          <w:tcPr>
            <w:tcW w:w="3006" w:type="dxa"/>
          </w:tcPr>
          <w:p w14:paraId="3F0C8EED" w14:textId="6BD9DC4A" w:rsidR="00447B6F" w:rsidRPr="00637B52" w:rsidRDefault="00447B6F" w:rsidP="00447B6F">
            <w:pPr>
              <w:jc w:val="center"/>
              <w:rPr>
                <w:rFonts w:ascii="Poppins" w:hAnsi="Poppins" w:cs="Poppins"/>
                <w:lang w:val="en-US"/>
              </w:rPr>
            </w:pPr>
            <w:r w:rsidRPr="00637B52">
              <w:rPr>
                <w:rFonts w:ascii="Poppins" w:hAnsi="Poppins" w:cs="Poppins"/>
                <w:lang w:val="en-US"/>
              </w:rPr>
              <w:t>-2.42%</w:t>
            </w:r>
          </w:p>
        </w:tc>
      </w:tr>
      <w:tr w:rsidR="00447B6F" w:rsidRPr="00637B52" w14:paraId="3115C852" w14:textId="77777777" w:rsidTr="00447B6F">
        <w:tc>
          <w:tcPr>
            <w:tcW w:w="3005" w:type="dxa"/>
          </w:tcPr>
          <w:p w14:paraId="6036BBE3" w14:textId="48F9A8FF" w:rsidR="00447B6F" w:rsidRPr="00637B52" w:rsidRDefault="00447B6F" w:rsidP="00447B6F">
            <w:pPr>
              <w:jc w:val="center"/>
              <w:rPr>
                <w:rFonts w:ascii="Poppins" w:hAnsi="Poppins" w:cs="Poppins"/>
                <w:lang w:val="en-US"/>
              </w:rPr>
            </w:pPr>
            <w:r w:rsidRPr="00637B52">
              <w:rPr>
                <w:rFonts w:ascii="Poppins" w:hAnsi="Poppins" w:cs="Poppins"/>
                <w:b/>
                <w:bCs/>
                <w:lang w:val="en-US"/>
              </w:rPr>
              <w:t>Bonus Gap</w:t>
            </w:r>
          </w:p>
        </w:tc>
        <w:tc>
          <w:tcPr>
            <w:tcW w:w="3005" w:type="dxa"/>
          </w:tcPr>
          <w:p w14:paraId="2ED2CC7B" w14:textId="6FF64788" w:rsidR="00447B6F" w:rsidRPr="00637B52" w:rsidRDefault="00447B6F" w:rsidP="00447B6F">
            <w:pPr>
              <w:jc w:val="center"/>
              <w:rPr>
                <w:rFonts w:ascii="Poppins" w:hAnsi="Poppins" w:cs="Poppins"/>
                <w:lang w:val="en-US"/>
              </w:rPr>
            </w:pPr>
            <w:r w:rsidRPr="00637B52">
              <w:rPr>
                <w:rFonts w:ascii="Poppins" w:hAnsi="Poppins" w:cs="Poppins"/>
                <w:lang w:val="en-US"/>
              </w:rPr>
              <w:t>-23.92%</w:t>
            </w:r>
          </w:p>
        </w:tc>
        <w:tc>
          <w:tcPr>
            <w:tcW w:w="3006" w:type="dxa"/>
          </w:tcPr>
          <w:p w14:paraId="67FB5C6E" w14:textId="1FE50316" w:rsidR="00447B6F" w:rsidRPr="00637B52" w:rsidRDefault="00447B6F" w:rsidP="00447B6F">
            <w:pPr>
              <w:jc w:val="center"/>
              <w:rPr>
                <w:rFonts w:ascii="Poppins" w:hAnsi="Poppins" w:cs="Poppins"/>
                <w:lang w:val="en-US"/>
              </w:rPr>
            </w:pPr>
            <w:r w:rsidRPr="00637B52">
              <w:rPr>
                <w:rFonts w:ascii="Poppins" w:hAnsi="Poppins" w:cs="Poppins"/>
                <w:lang w:val="en-US"/>
              </w:rPr>
              <w:t>-25%</w:t>
            </w:r>
          </w:p>
        </w:tc>
      </w:tr>
    </w:tbl>
    <w:p w14:paraId="1105494E" w14:textId="77777777" w:rsidR="00447B6F" w:rsidRPr="00637B52" w:rsidRDefault="00447B6F" w:rsidP="001E5206">
      <w:pPr>
        <w:spacing w:after="0"/>
        <w:rPr>
          <w:rFonts w:ascii="Poppins" w:hAnsi="Poppins" w:cs="Poppins"/>
          <w:lang w:val="en-US"/>
        </w:rPr>
      </w:pPr>
    </w:p>
    <w:p w14:paraId="78E30C68" w14:textId="77777777" w:rsidR="002D6602" w:rsidRPr="00637B52" w:rsidRDefault="002D6602" w:rsidP="001E5206">
      <w:pPr>
        <w:spacing w:after="0"/>
        <w:rPr>
          <w:rFonts w:ascii="Poppins" w:hAnsi="Poppins" w:cs="Poppins"/>
          <w:lang w:val="en-US"/>
        </w:rPr>
      </w:pPr>
    </w:p>
    <w:p w14:paraId="652664F3" w14:textId="77777777" w:rsidR="00C93D3D" w:rsidRPr="00637B52" w:rsidRDefault="00C93D3D" w:rsidP="001E5206">
      <w:pPr>
        <w:spacing w:after="0"/>
        <w:rPr>
          <w:rFonts w:ascii="Poppins" w:hAnsi="Poppins" w:cs="Poppins"/>
          <w:lang w:val="en-US"/>
        </w:rPr>
      </w:pPr>
    </w:p>
    <w:p w14:paraId="4F9F5B11" w14:textId="083072AA" w:rsidR="00525A69" w:rsidRPr="00637B52" w:rsidRDefault="00525A69" w:rsidP="001E5206">
      <w:pPr>
        <w:spacing w:after="0"/>
        <w:rPr>
          <w:rFonts w:ascii="Poppins" w:hAnsi="Poppins" w:cs="Poppins"/>
          <w:lang w:val="en-US"/>
        </w:rPr>
      </w:pPr>
      <w:r w:rsidRPr="00637B52">
        <w:rPr>
          <w:rFonts w:ascii="Poppins" w:hAnsi="Poppins" w:cs="Poppins"/>
          <w:noProof/>
        </w:rPr>
        <w:drawing>
          <wp:inline distT="0" distB="0" distL="0" distR="0" wp14:anchorId="45ABA58B" wp14:editId="619E8FBF">
            <wp:extent cx="5731510" cy="3190875"/>
            <wp:effectExtent l="0" t="0" r="2540" b="0"/>
            <wp:docPr id="1963453001" name="Chart 1">
              <a:extLst xmlns:a="http://schemas.openxmlformats.org/drawingml/2006/main">
                <a:ext uri="{FF2B5EF4-FFF2-40B4-BE49-F238E27FC236}">
                  <a16:creationId xmlns:a16="http://schemas.microsoft.com/office/drawing/2014/main" id="{69517469-AB61-8828-C4F5-693FC2E6490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2B2A0705" w14:textId="77777777" w:rsidR="00C93D3D" w:rsidRPr="00637B52" w:rsidRDefault="00C93D3D" w:rsidP="001E5206">
      <w:pPr>
        <w:spacing w:after="0"/>
        <w:rPr>
          <w:rFonts w:ascii="Poppins" w:hAnsi="Poppins" w:cs="Poppins"/>
          <w:lang w:val="en-US"/>
        </w:rPr>
      </w:pPr>
    </w:p>
    <w:p w14:paraId="0F33514B" w14:textId="7F349547" w:rsidR="00AC55C0" w:rsidRPr="00637B52" w:rsidRDefault="00164BAD" w:rsidP="001E5206">
      <w:pPr>
        <w:spacing w:after="0"/>
        <w:rPr>
          <w:rFonts w:ascii="Poppins" w:hAnsi="Poppins" w:cs="Poppins"/>
          <w:lang w:val="en-US"/>
        </w:rPr>
      </w:pPr>
      <w:r w:rsidRPr="00637B52">
        <w:rPr>
          <w:rFonts w:ascii="Poppins" w:hAnsi="Poppins" w:cs="Poppins"/>
          <w:noProof/>
        </w:rPr>
        <w:drawing>
          <wp:inline distT="0" distB="0" distL="0" distR="0" wp14:anchorId="1F4FBC28" wp14:editId="4EC95F2B">
            <wp:extent cx="5731510" cy="3124200"/>
            <wp:effectExtent l="0" t="0" r="2540" b="0"/>
            <wp:docPr id="1006261317" name="Chart 1">
              <a:extLst xmlns:a="http://schemas.openxmlformats.org/drawingml/2006/main">
                <a:ext uri="{FF2B5EF4-FFF2-40B4-BE49-F238E27FC236}">
                  <a16:creationId xmlns:a16="http://schemas.microsoft.com/office/drawing/2014/main" id="{900B7585-93A8-1845-8679-EAF88C4B562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DB9193D" w14:textId="77777777" w:rsidR="000B5744" w:rsidRPr="00637B52" w:rsidRDefault="000B5744" w:rsidP="001E5206">
      <w:pPr>
        <w:spacing w:after="0"/>
        <w:rPr>
          <w:rFonts w:ascii="Poppins" w:hAnsi="Poppins" w:cs="Poppins"/>
          <w:b/>
          <w:bCs/>
          <w:u w:val="single"/>
          <w:lang w:val="en-US"/>
        </w:rPr>
      </w:pPr>
    </w:p>
    <w:tbl>
      <w:tblPr>
        <w:tblStyle w:val="TableGrid"/>
        <w:tblW w:w="0" w:type="auto"/>
        <w:tblLook w:val="04A0" w:firstRow="1" w:lastRow="0" w:firstColumn="1" w:lastColumn="0" w:noHBand="0" w:noVBand="1"/>
      </w:tblPr>
      <w:tblGrid>
        <w:gridCol w:w="3005"/>
        <w:gridCol w:w="3005"/>
        <w:gridCol w:w="3006"/>
      </w:tblGrid>
      <w:tr w:rsidR="00C93D3D" w:rsidRPr="00637B52" w14:paraId="3B9FB2C7" w14:textId="77777777" w:rsidTr="00AE2686">
        <w:tc>
          <w:tcPr>
            <w:tcW w:w="9016" w:type="dxa"/>
            <w:gridSpan w:val="3"/>
          </w:tcPr>
          <w:p w14:paraId="35B353B9" w14:textId="169EC5B4" w:rsidR="00C93D3D" w:rsidRPr="00637B52" w:rsidRDefault="00C93D3D" w:rsidP="00C93D3D">
            <w:pPr>
              <w:jc w:val="center"/>
              <w:rPr>
                <w:rFonts w:ascii="Poppins" w:hAnsi="Poppins" w:cs="Poppins"/>
                <w:b/>
                <w:bCs/>
                <w:lang w:val="en-US"/>
              </w:rPr>
            </w:pPr>
            <w:r w:rsidRPr="00637B52">
              <w:rPr>
                <w:rFonts w:ascii="Poppins" w:hAnsi="Poppins" w:cs="Poppins"/>
                <w:b/>
                <w:bCs/>
                <w:lang w:val="en-US"/>
              </w:rPr>
              <w:t>SVP Historic Gender Pay Gaps (Pay)</w:t>
            </w:r>
          </w:p>
        </w:tc>
      </w:tr>
      <w:tr w:rsidR="00C93D3D" w:rsidRPr="00637B52" w14:paraId="76246BB3" w14:textId="77777777" w:rsidTr="00C93D3D">
        <w:tc>
          <w:tcPr>
            <w:tcW w:w="3005" w:type="dxa"/>
          </w:tcPr>
          <w:p w14:paraId="789A5C93" w14:textId="223BAEC3" w:rsidR="00C93D3D" w:rsidRPr="00637B52" w:rsidRDefault="00C93D3D" w:rsidP="00C93D3D">
            <w:pPr>
              <w:jc w:val="center"/>
              <w:rPr>
                <w:rFonts w:ascii="Poppins" w:hAnsi="Poppins" w:cs="Poppins"/>
                <w:b/>
                <w:bCs/>
                <w:lang w:val="en-US"/>
              </w:rPr>
            </w:pPr>
            <w:r w:rsidRPr="00637B52">
              <w:rPr>
                <w:rFonts w:ascii="Poppins" w:hAnsi="Poppins" w:cs="Poppins"/>
                <w:b/>
                <w:bCs/>
                <w:lang w:val="en-US"/>
              </w:rPr>
              <w:t>Year</w:t>
            </w:r>
          </w:p>
        </w:tc>
        <w:tc>
          <w:tcPr>
            <w:tcW w:w="3005" w:type="dxa"/>
          </w:tcPr>
          <w:p w14:paraId="54DE5CE7" w14:textId="470B0BB8" w:rsidR="00C93D3D" w:rsidRPr="00637B52" w:rsidRDefault="00C93D3D" w:rsidP="00C93D3D">
            <w:pPr>
              <w:jc w:val="center"/>
              <w:rPr>
                <w:rFonts w:ascii="Poppins" w:hAnsi="Poppins" w:cs="Poppins"/>
                <w:b/>
                <w:bCs/>
                <w:lang w:val="en-US"/>
              </w:rPr>
            </w:pPr>
            <w:r w:rsidRPr="00637B52">
              <w:rPr>
                <w:rFonts w:ascii="Poppins" w:hAnsi="Poppins" w:cs="Poppins"/>
                <w:b/>
                <w:bCs/>
                <w:lang w:val="en-US"/>
              </w:rPr>
              <w:t>Mean</w:t>
            </w:r>
          </w:p>
        </w:tc>
        <w:tc>
          <w:tcPr>
            <w:tcW w:w="3006" w:type="dxa"/>
          </w:tcPr>
          <w:p w14:paraId="719EDA2A" w14:textId="1E5F272C" w:rsidR="00C93D3D" w:rsidRPr="00637B52" w:rsidRDefault="00C93D3D" w:rsidP="00C93D3D">
            <w:pPr>
              <w:jc w:val="center"/>
              <w:rPr>
                <w:rFonts w:ascii="Poppins" w:hAnsi="Poppins" w:cs="Poppins"/>
                <w:b/>
                <w:bCs/>
                <w:lang w:val="en-US"/>
              </w:rPr>
            </w:pPr>
            <w:r w:rsidRPr="00637B52">
              <w:rPr>
                <w:rFonts w:ascii="Poppins" w:hAnsi="Poppins" w:cs="Poppins"/>
                <w:b/>
                <w:bCs/>
                <w:lang w:val="en-US"/>
              </w:rPr>
              <w:t>Median</w:t>
            </w:r>
          </w:p>
        </w:tc>
      </w:tr>
      <w:tr w:rsidR="00C93D3D" w:rsidRPr="00637B52" w14:paraId="0E53BDC1" w14:textId="77777777" w:rsidTr="00C93D3D">
        <w:tc>
          <w:tcPr>
            <w:tcW w:w="3005" w:type="dxa"/>
          </w:tcPr>
          <w:p w14:paraId="6E44A856" w14:textId="05617232" w:rsidR="00C93D3D" w:rsidRPr="00637B52" w:rsidRDefault="00C93D3D" w:rsidP="00C93D3D">
            <w:pPr>
              <w:jc w:val="center"/>
              <w:rPr>
                <w:rFonts w:ascii="Poppins" w:hAnsi="Poppins" w:cs="Poppins"/>
                <w:b/>
                <w:bCs/>
                <w:lang w:val="en-US"/>
              </w:rPr>
            </w:pPr>
            <w:r w:rsidRPr="00637B52">
              <w:rPr>
                <w:rFonts w:ascii="Poppins" w:hAnsi="Poppins" w:cs="Poppins"/>
                <w:b/>
                <w:bCs/>
                <w:lang w:val="en-US"/>
              </w:rPr>
              <w:t>2023</w:t>
            </w:r>
          </w:p>
        </w:tc>
        <w:tc>
          <w:tcPr>
            <w:tcW w:w="3005" w:type="dxa"/>
          </w:tcPr>
          <w:p w14:paraId="5AFAE440" w14:textId="431FD2AF" w:rsidR="00C93D3D" w:rsidRPr="00637B52" w:rsidRDefault="00C93D3D" w:rsidP="00C93D3D">
            <w:pPr>
              <w:jc w:val="center"/>
              <w:rPr>
                <w:rFonts w:ascii="Poppins" w:hAnsi="Poppins" w:cs="Poppins"/>
                <w:lang w:val="en-US"/>
              </w:rPr>
            </w:pPr>
            <w:r w:rsidRPr="00637B52">
              <w:rPr>
                <w:rFonts w:ascii="Poppins" w:hAnsi="Poppins" w:cs="Poppins"/>
                <w:lang w:val="en-US"/>
              </w:rPr>
              <w:t>0</w:t>
            </w:r>
          </w:p>
        </w:tc>
        <w:tc>
          <w:tcPr>
            <w:tcW w:w="3006" w:type="dxa"/>
          </w:tcPr>
          <w:p w14:paraId="66135293" w14:textId="1578B0F1" w:rsidR="00C93D3D" w:rsidRPr="00637B52" w:rsidRDefault="00C93D3D" w:rsidP="00C93D3D">
            <w:pPr>
              <w:jc w:val="center"/>
              <w:rPr>
                <w:rFonts w:ascii="Poppins" w:hAnsi="Poppins" w:cs="Poppins"/>
                <w:lang w:val="en-US"/>
              </w:rPr>
            </w:pPr>
            <w:r w:rsidRPr="00637B52">
              <w:rPr>
                <w:rFonts w:ascii="Poppins" w:hAnsi="Poppins" w:cs="Poppins"/>
                <w:lang w:val="en-US"/>
              </w:rPr>
              <w:t>-1.54%</w:t>
            </w:r>
          </w:p>
        </w:tc>
      </w:tr>
      <w:tr w:rsidR="00C93D3D" w:rsidRPr="00637B52" w14:paraId="3878DA75" w14:textId="77777777" w:rsidTr="00C93D3D">
        <w:tc>
          <w:tcPr>
            <w:tcW w:w="3005" w:type="dxa"/>
          </w:tcPr>
          <w:p w14:paraId="3DA33B41" w14:textId="29B066A2" w:rsidR="00C93D3D" w:rsidRPr="00637B52" w:rsidRDefault="00C93D3D" w:rsidP="00C93D3D">
            <w:pPr>
              <w:jc w:val="center"/>
              <w:rPr>
                <w:rFonts w:ascii="Poppins" w:hAnsi="Poppins" w:cs="Poppins"/>
                <w:b/>
                <w:bCs/>
                <w:lang w:val="en-US"/>
              </w:rPr>
            </w:pPr>
            <w:r w:rsidRPr="00637B52">
              <w:rPr>
                <w:rFonts w:ascii="Poppins" w:hAnsi="Poppins" w:cs="Poppins"/>
                <w:b/>
                <w:bCs/>
                <w:lang w:val="en-US"/>
              </w:rPr>
              <w:t>2022</w:t>
            </w:r>
          </w:p>
        </w:tc>
        <w:tc>
          <w:tcPr>
            <w:tcW w:w="3005" w:type="dxa"/>
          </w:tcPr>
          <w:p w14:paraId="3A24F18C" w14:textId="489ACFAF" w:rsidR="00C93D3D" w:rsidRPr="00637B52" w:rsidRDefault="00C93D3D" w:rsidP="00C93D3D">
            <w:pPr>
              <w:jc w:val="center"/>
              <w:rPr>
                <w:rFonts w:ascii="Poppins" w:hAnsi="Poppins" w:cs="Poppins"/>
                <w:lang w:val="en-US"/>
              </w:rPr>
            </w:pPr>
            <w:r w:rsidRPr="00637B52">
              <w:rPr>
                <w:rFonts w:ascii="Poppins" w:hAnsi="Poppins" w:cs="Poppins"/>
                <w:lang w:val="en-US"/>
              </w:rPr>
              <w:t>1.41%</w:t>
            </w:r>
          </w:p>
        </w:tc>
        <w:tc>
          <w:tcPr>
            <w:tcW w:w="3006" w:type="dxa"/>
          </w:tcPr>
          <w:p w14:paraId="365365E5" w14:textId="3ABF244A" w:rsidR="00C93D3D" w:rsidRPr="00637B52" w:rsidRDefault="00C93D3D" w:rsidP="00C93D3D">
            <w:pPr>
              <w:jc w:val="center"/>
              <w:rPr>
                <w:rFonts w:ascii="Poppins" w:hAnsi="Poppins" w:cs="Poppins"/>
                <w:lang w:val="en-US"/>
              </w:rPr>
            </w:pPr>
            <w:r w:rsidRPr="00637B52">
              <w:rPr>
                <w:rFonts w:ascii="Poppins" w:hAnsi="Poppins" w:cs="Poppins"/>
                <w:lang w:val="en-US"/>
              </w:rPr>
              <w:t>-1.52%</w:t>
            </w:r>
          </w:p>
        </w:tc>
      </w:tr>
      <w:tr w:rsidR="00C93D3D" w:rsidRPr="00637B52" w14:paraId="15557E7C" w14:textId="77777777" w:rsidTr="00C93D3D">
        <w:tc>
          <w:tcPr>
            <w:tcW w:w="3005" w:type="dxa"/>
          </w:tcPr>
          <w:p w14:paraId="0F61934C" w14:textId="767A7E58" w:rsidR="00C93D3D" w:rsidRPr="00637B52" w:rsidRDefault="00C93D3D" w:rsidP="00C93D3D">
            <w:pPr>
              <w:jc w:val="center"/>
              <w:rPr>
                <w:rFonts w:ascii="Poppins" w:hAnsi="Poppins" w:cs="Poppins"/>
                <w:b/>
                <w:bCs/>
                <w:lang w:val="en-US"/>
              </w:rPr>
            </w:pPr>
            <w:r w:rsidRPr="00637B52">
              <w:rPr>
                <w:rFonts w:ascii="Poppins" w:hAnsi="Poppins" w:cs="Poppins"/>
                <w:b/>
                <w:bCs/>
                <w:lang w:val="en-US"/>
              </w:rPr>
              <w:t>2021</w:t>
            </w:r>
          </w:p>
        </w:tc>
        <w:tc>
          <w:tcPr>
            <w:tcW w:w="3005" w:type="dxa"/>
          </w:tcPr>
          <w:p w14:paraId="2D5C8774" w14:textId="70C85C33" w:rsidR="00C93D3D" w:rsidRPr="00637B52" w:rsidRDefault="00C93D3D" w:rsidP="00C93D3D">
            <w:pPr>
              <w:jc w:val="center"/>
              <w:rPr>
                <w:rFonts w:ascii="Poppins" w:hAnsi="Poppins" w:cs="Poppins"/>
                <w:lang w:val="en-US"/>
              </w:rPr>
            </w:pPr>
            <w:r w:rsidRPr="00637B52">
              <w:rPr>
                <w:rFonts w:ascii="Poppins" w:hAnsi="Poppins" w:cs="Poppins"/>
                <w:lang w:val="en-US"/>
              </w:rPr>
              <w:t>-3.8%</w:t>
            </w:r>
          </w:p>
        </w:tc>
        <w:tc>
          <w:tcPr>
            <w:tcW w:w="3006" w:type="dxa"/>
          </w:tcPr>
          <w:p w14:paraId="51C5337F" w14:textId="18208F47" w:rsidR="00C93D3D" w:rsidRPr="00637B52" w:rsidRDefault="00C93D3D" w:rsidP="00C93D3D">
            <w:pPr>
              <w:jc w:val="center"/>
              <w:rPr>
                <w:rFonts w:ascii="Poppins" w:hAnsi="Poppins" w:cs="Poppins"/>
                <w:lang w:val="en-US"/>
              </w:rPr>
            </w:pPr>
            <w:r w:rsidRPr="00637B52">
              <w:rPr>
                <w:rFonts w:ascii="Poppins" w:hAnsi="Poppins" w:cs="Poppins"/>
                <w:lang w:val="en-US"/>
              </w:rPr>
              <w:t>-5.4%</w:t>
            </w:r>
          </w:p>
        </w:tc>
      </w:tr>
      <w:tr w:rsidR="00C93D3D" w:rsidRPr="00637B52" w14:paraId="62DD0BC6" w14:textId="77777777" w:rsidTr="00C93D3D">
        <w:tc>
          <w:tcPr>
            <w:tcW w:w="3005" w:type="dxa"/>
          </w:tcPr>
          <w:p w14:paraId="0BE20B61" w14:textId="02AD0830" w:rsidR="00C93D3D" w:rsidRPr="00637B52" w:rsidRDefault="00C93D3D" w:rsidP="00C93D3D">
            <w:pPr>
              <w:jc w:val="center"/>
              <w:rPr>
                <w:rFonts w:ascii="Poppins" w:hAnsi="Poppins" w:cs="Poppins"/>
                <w:b/>
                <w:bCs/>
                <w:lang w:val="en-US"/>
              </w:rPr>
            </w:pPr>
            <w:r w:rsidRPr="00637B52">
              <w:rPr>
                <w:rFonts w:ascii="Poppins" w:hAnsi="Poppins" w:cs="Poppins"/>
                <w:b/>
                <w:bCs/>
                <w:lang w:val="en-US"/>
              </w:rPr>
              <w:t>2020</w:t>
            </w:r>
          </w:p>
        </w:tc>
        <w:tc>
          <w:tcPr>
            <w:tcW w:w="3005" w:type="dxa"/>
          </w:tcPr>
          <w:p w14:paraId="79DB41C8" w14:textId="6B38F009" w:rsidR="00C93D3D" w:rsidRPr="00637B52" w:rsidRDefault="00C93D3D" w:rsidP="00C93D3D">
            <w:pPr>
              <w:jc w:val="center"/>
              <w:rPr>
                <w:rFonts w:ascii="Poppins" w:hAnsi="Poppins" w:cs="Poppins"/>
                <w:lang w:val="en-US"/>
              </w:rPr>
            </w:pPr>
            <w:r w:rsidRPr="00637B52">
              <w:rPr>
                <w:rFonts w:ascii="Poppins" w:hAnsi="Poppins" w:cs="Poppins"/>
                <w:lang w:val="en-US"/>
              </w:rPr>
              <w:t>-3%</w:t>
            </w:r>
          </w:p>
        </w:tc>
        <w:tc>
          <w:tcPr>
            <w:tcW w:w="3006" w:type="dxa"/>
          </w:tcPr>
          <w:p w14:paraId="6B7782AD" w14:textId="7F73FDB9" w:rsidR="00C93D3D" w:rsidRPr="00637B52" w:rsidRDefault="00C93D3D" w:rsidP="00C93D3D">
            <w:pPr>
              <w:jc w:val="center"/>
              <w:rPr>
                <w:rFonts w:ascii="Poppins" w:hAnsi="Poppins" w:cs="Poppins"/>
                <w:lang w:val="en-US"/>
              </w:rPr>
            </w:pPr>
            <w:r w:rsidRPr="00637B52">
              <w:rPr>
                <w:rFonts w:ascii="Poppins" w:hAnsi="Poppins" w:cs="Poppins"/>
                <w:lang w:val="en-US"/>
              </w:rPr>
              <w:t>-2%</w:t>
            </w:r>
          </w:p>
        </w:tc>
      </w:tr>
    </w:tbl>
    <w:p w14:paraId="15618425" w14:textId="77777777" w:rsidR="00C93D3D" w:rsidRPr="00637B52" w:rsidRDefault="00C93D3D" w:rsidP="001E5206">
      <w:pPr>
        <w:rPr>
          <w:rFonts w:ascii="Poppins" w:hAnsi="Poppins" w:cs="Poppins"/>
          <w:lang w:val="en-US"/>
        </w:rPr>
      </w:pPr>
    </w:p>
    <w:p w14:paraId="3372319E" w14:textId="41685660" w:rsidR="002F534D" w:rsidRPr="00637B52" w:rsidRDefault="001E5206" w:rsidP="001E5206">
      <w:pPr>
        <w:rPr>
          <w:rFonts w:ascii="Poppins" w:hAnsi="Poppins" w:cs="Poppins"/>
          <w:lang w:val="en-US"/>
        </w:rPr>
      </w:pPr>
      <w:r w:rsidRPr="00637B52">
        <w:rPr>
          <w:rFonts w:ascii="Poppins" w:hAnsi="Poppins" w:cs="Poppins"/>
          <w:lang w:val="en-US"/>
        </w:rPr>
        <w:t>The Office for National Statistics for April 2023 reported that the gender pay gap has been declining slowly over time; over the last decade it has fallen by approximately a quarter among full-time employees, and in April 202</w:t>
      </w:r>
      <w:r w:rsidR="00373EFA" w:rsidRPr="00637B52">
        <w:rPr>
          <w:rFonts w:ascii="Poppins" w:hAnsi="Poppins" w:cs="Poppins"/>
          <w:lang w:val="en-US"/>
        </w:rPr>
        <w:t>4</w:t>
      </w:r>
      <w:r w:rsidRPr="00637B52">
        <w:rPr>
          <w:rFonts w:ascii="Poppins" w:hAnsi="Poppins" w:cs="Poppins"/>
          <w:lang w:val="en-US"/>
        </w:rPr>
        <w:t xml:space="preserve"> it stands at </w:t>
      </w:r>
      <w:r w:rsidR="00BF0FB6" w:rsidRPr="00637B52">
        <w:rPr>
          <w:rFonts w:ascii="Poppins" w:hAnsi="Poppins" w:cs="Poppins"/>
          <w:lang w:val="en-US"/>
        </w:rPr>
        <w:t>7%</w:t>
      </w:r>
      <w:r w:rsidRPr="00637B52">
        <w:rPr>
          <w:rFonts w:ascii="Poppins" w:hAnsi="Poppins" w:cs="Poppins"/>
          <w:lang w:val="en-US"/>
        </w:rPr>
        <w:t xml:space="preserve">. </w:t>
      </w:r>
      <w:r w:rsidR="00296E9A" w:rsidRPr="00637B52">
        <w:rPr>
          <w:rFonts w:ascii="Poppins" w:hAnsi="Poppins" w:cs="Poppins"/>
          <w:lang w:val="en-US"/>
        </w:rPr>
        <w:t xml:space="preserve">The Civil Society reports </w:t>
      </w:r>
      <w:r w:rsidR="00D168FA" w:rsidRPr="00637B52">
        <w:rPr>
          <w:rFonts w:ascii="Poppins" w:hAnsi="Poppins" w:cs="Poppins"/>
          <w:lang w:val="en-US"/>
        </w:rPr>
        <w:t>the average median gender pay gap</w:t>
      </w:r>
      <w:r w:rsidR="00B409CA" w:rsidRPr="00637B52">
        <w:rPr>
          <w:rFonts w:ascii="Poppins" w:hAnsi="Poppins" w:cs="Poppins"/>
          <w:lang w:val="en-US"/>
        </w:rPr>
        <w:t xml:space="preserve"> in April 2023 </w:t>
      </w:r>
      <w:r w:rsidR="00A36D52" w:rsidRPr="00637B52">
        <w:rPr>
          <w:rFonts w:ascii="Poppins" w:hAnsi="Poppins" w:cs="Poppins"/>
          <w:lang w:val="en-US"/>
        </w:rPr>
        <w:t>was 6.8%. This figure represents a sample of 100 large charities in the UK</w:t>
      </w:r>
      <w:r w:rsidR="006F0AA3" w:rsidRPr="00637B52">
        <w:rPr>
          <w:rFonts w:ascii="Poppins" w:hAnsi="Poppins" w:cs="Poppins"/>
          <w:lang w:val="en-US"/>
        </w:rPr>
        <w:t xml:space="preserve">. </w:t>
      </w:r>
      <w:r w:rsidR="00DD71BE" w:rsidRPr="00637B52">
        <w:rPr>
          <w:rFonts w:ascii="Poppins" w:hAnsi="Poppins" w:cs="Poppins"/>
          <w:lang w:val="en-US"/>
        </w:rPr>
        <w:t xml:space="preserve">In the first quarter of 2024, the employment rate for men aged between 16 and 64 in the United Kingdom was 77.1%, while for women it was 71.9%. </w:t>
      </w:r>
    </w:p>
    <w:p w14:paraId="3109CD86" w14:textId="799CC64A" w:rsidR="001E5206" w:rsidRPr="00637B52" w:rsidRDefault="001E5206" w:rsidP="001E5206">
      <w:pPr>
        <w:rPr>
          <w:rFonts w:ascii="Poppins" w:hAnsi="Poppins" w:cs="Poppins"/>
        </w:rPr>
      </w:pPr>
      <w:r w:rsidRPr="00637B52">
        <w:rPr>
          <w:rFonts w:ascii="Poppins" w:hAnsi="Poppins" w:cs="Poppins"/>
          <w:lang w:val="en-US"/>
        </w:rPr>
        <w:t xml:space="preserve">The SVP has a negative median pay gap of </w:t>
      </w:r>
      <w:r w:rsidR="002F534D" w:rsidRPr="00637B52">
        <w:rPr>
          <w:rFonts w:ascii="Poppins" w:hAnsi="Poppins" w:cs="Poppins"/>
          <w:lang w:val="en-US"/>
        </w:rPr>
        <w:t>-2.42%</w:t>
      </w:r>
      <w:r w:rsidRPr="00637B52">
        <w:rPr>
          <w:rFonts w:ascii="Poppins" w:hAnsi="Poppins" w:cs="Poppins"/>
          <w:lang w:val="en-US"/>
        </w:rPr>
        <w:t xml:space="preserve"> which shows that overall male staff are paid slightly less than female staff. In reality this means that there is a higher proportion of female workers compared to male staff within the SVP. This reflects our on-going commitment to family-friendly policies including promoting flexible working, varied working patterns and home-working as well as enhanced family leave. </w:t>
      </w:r>
    </w:p>
    <w:p w14:paraId="7BA9879C" w14:textId="13854328" w:rsidR="001E5206" w:rsidRPr="00637B52" w:rsidRDefault="001E5206" w:rsidP="001E5206">
      <w:pPr>
        <w:rPr>
          <w:rFonts w:ascii="Poppins" w:hAnsi="Poppins" w:cs="Poppins"/>
          <w:lang w:val="en-US"/>
        </w:rPr>
      </w:pPr>
      <w:r w:rsidRPr="00637B52">
        <w:rPr>
          <w:rFonts w:ascii="Poppins" w:hAnsi="Poppins" w:cs="Poppins"/>
          <w:lang w:val="en-US"/>
        </w:rPr>
        <w:t xml:space="preserve">The only bonus pay for the SVP refers to monetary awards to </w:t>
      </w:r>
      <w:proofErr w:type="spellStart"/>
      <w:r w:rsidRPr="00637B52">
        <w:rPr>
          <w:rFonts w:ascii="Poppins" w:hAnsi="Poppins" w:cs="Poppins"/>
          <w:lang w:val="en-US"/>
        </w:rPr>
        <w:t>recognise</w:t>
      </w:r>
      <w:proofErr w:type="spellEnd"/>
      <w:r w:rsidRPr="00637B52">
        <w:rPr>
          <w:rFonts w:ascii="Poppins" w:hAnsi="Poppins" w:cs="Poppins"/>
          <w:lang w:val="en-US"/>
        </w:rPr>
        <w:t xml:space="preserve"> employee long service in line with the SVP Long Service </w:t>
      </w:r>
      <w:r w:rsidR="00773D43" w:rsidRPr="00637B52">
        <w:rPr>
          <w:rFonts w:ascii="Poppins" w:hAnsi="Poppins" w:cs="Poppins"/>
          <w:lang w:val="en-US"/>
        </w:rPr>
        <w:t>Loyalty</w:t>
      </w:r>
      <w:r w:rsidRPr="00637B52">
        <w:rPr>
          <w:rFonts w:ascii="Poppins" w:hAnsi="Poppins" w:cs="Poppins"/>
          <w:lang w:val="en-US"/>
        </w:rPr>
        <w:t xml:space="preserve"> Scheme and is solely based on length of service.</w:t>
      </w:r>
      <w:r w:rsidR="00773D43" w:rsidRPr="00637B52">
        <w:rPr>
          <w:rFonts w:ascii="Poppins" w:hAnsi="Poppins" w:cs="Poppins"/>
          <w:lang w:val="en-US"/>
        </w:rPr>
        <w:t xml:space="preserve"> </w:t>
      </w:r>
      <w:r w:rsidRPr="00637B52">
        <w:rPr>
          <w:rFonts w:ascii="Poppins" w:hAnsi="Poppins" w:cs="Poppins"/>
          <w:lang w:val="en-US"/>
        </w:rPr>
        <w:t xml:space="preserve">No other bonuses are offered. </w:t>
      </w:r>
      <w:r w:rsidR="00123390" w:rsidRPr="00637B52">
        <w:rPr>
          <w:rFonts w:ascii="Poppins" w:hAnsi="Poppins" w:cs="Poppins"/>
          <w:lang w:val="en-US"/>
        </w:rPr>
        <w:t>In the 12 months ending 5</w:t>
      </w:r>
      <w:r w:rsidR="00123390" w:rsidRPr="00637B52">
        <w:rPr>
          <w:rFonts w:ascii="Poppins" w:hAnsi="Poppins" w:cs="Poppins"/>
          <w:vertAlign w:val="superscript"/>
          <w:lang w:val="en-US"/>
        </w:rPr>
        <w:t>th</w:t>
      </w:r>
      <w:r w:rsidR="00123390" w:rsidRPr="00637B52">
        <w:rPr>
          <w:rFonts w:ascii="Poppins" w:hAnsi="Poppins" w:cs="Poppins"/>
          <w:lang w:val="en-US"/>
        </w:rPr>
        <w:t xml:space="preserve"> April 2024, </w:t>
      </w:r>
      <w:r w:rsidR="00A13A12" w:rsidRPr="00637B52">
        <w:rPr>
          <w:rFonts w:ascii="Poppins" w:hAnsi="Poppins" w:cs="Poppins"/>
          <w:lang w:val="en-US"/>
        </w:rPr>
        <w:t xml:space="preserve">ten long service awards </w:t>
      </w:r>
      <w:r w:rsidRPr="00637B52">
        <w:rPr>
          <w:rFonts w:ascii="Poppins" w:hAnsi="Poppins" w:cs="Poppins"/>
          <w:lang w:val="en-US"/>
        </w:rPr>
        <w:t>were paid equating to £</w:t>
      </w:r>
      <w:r w:rsidR="00A13A12" w:rsidRPr="00637B52">
        <w:rPr>
          <w:rFonts w:ascii="Poppins" w:hAnsi="Poppins" w:cs="Poppins"/>
          <w:lang w:val="en-US"/>
        </w:rPr>
        <w:t>2,430</w:t>
      </w:r>
      <w:r w:rsidRPr="00637B52">
        <w:rPr>
          <w:rFonts w:ascii="Poppins" w:hAnsi="Poppins" w:cs="Poppins"/>
          <w:lang w:val="en-US"/>
        </w:rPr>
        <w:t xml:space="preserve"> in total.</w:t>
      </w:r>
    </w:p>
    <w:p w14:paraId="0E2D74C6" w14:textId="320CD094" w:rsidR="00800C99" w:rsidRPr="00637B52" w:rsidRDefault="008820EE" w:rsidP="001A31DD">
      <w:pPr>
        <w:rPr>
          <w:rFonts w:ascii="Poppins" w:hAnsi="Poppins" w:cs="Poppins"/>
          <w:lang w:val="en-US"/>
        </w:rPr>
      </w:pPr>
      <w:r w:rsidRPr="00637B52">
        <w:rPr>
          <w:rFonts w:ascii="Poppins" w:hAnsi="Poppins" w:cs="Poppins"/>
          <w:lang w:val="en-US"/>
        </w:rPr>
        <w:t>The SVP is</w:t>
      </w:r>
      <w:r w:rsidR="001E5206" w:rsidRPr="00637B52">
        <w:rPr>
          <w:rFonts w:ascii="Poppins" w:hAnsi="Poppins" w:cs="Poppins"/>
          <w:lang w:val="en-US"/>
        </w:rPr>
        <w:t xml:space="preserve"> pleased to see a narrow gender pay gap</w:t>
      </w:r>
      <w:r w:rsidRPr="00637B52">
        <w:rPr>
          <w:rFonts w:ascii="Poppins" w:hAnsi="Poppins" w:cs="Poppins"/>
          <w:lang w:val="en-US"/>
        </w:rPr>
        <w:t xml:space="preserve"> again this year</w:t>
      </w:r>
      <w:r w:rsidR="001E5206" w:rsidRPr="00637B52">
        <w:rPr>
          <w:rFonts w:ascii="Poppins" w:hAnsi="Poppins" w:cs="Poppins"/>
          <w:lang w:val="en-US"/>
        </w:rPr>
        <w:t xml:space="preserve">. </w:t>
      </w:r>
      <w:r w:rsidRPr="00637B52">
        <w:rPr>
          <w:rFonts w:ascii="Poppins" w:hAnsi="Poppins" w:cs="Poppins"/>
          <w:lang w:val="en-US"/>
        </w:rPr>
        <w:t>The SVP</w:t>
      </w:r>
      <w:r w:rsidR="00EB0BEC" w:rsidRPr="00637B52">
        <w:rPr>
          <w:rFonts w:ascii="Poppins" w:hAnsi="Poppins" w:cs="Poppins"/>
          <w:lang w:val="en-US"/>
        </w:rPr>
        <w:t xml:space="preserve"> </w:t>
      </w:r>
      <w:r w:rsidR="00EB0BEC" w:rsidRPr="00637B52">
        <w:rPr>
          <w:rFonts w:ascii="Poppins" w:hAnsi="Poppins" w:cs="Poppins"/>
          <w:lang w:val="en-US"/>
        </w:rPr>
        <w:t xml:space="preserve">has policies and procedures in place in </w:t>
      </w:r>
      <w:r w:rsidR="00EB0BEC" w:rsidRPr="00637B52">
        <w:rPr>
          <w:rFonts w:ascii="Poppins" w:hAnsi="Poppins" w:cs="Poppins"/>
          <w:lang w:val="en-US"/>
        </w:rPr>
        <w:t xml:space="preserve">relation to </w:t>
      </w:r>
      <w:r w:rsidR="00EB0BEC" w:rsidRPr="00637B52">
        <w:rPr>
          <w:rFonts w:ascii="Poppins" w:hAnsi="Poppins" w:cs="Poppins"/>
          <w:lang w:val="en-US"/>
        </w:rPr>
        <w:t xml:space="preserve">recruitment, </w:t>
      </w:r>
      <w:r w:rsidR="00EB0BEC" w:rsidRPr="00637B52">
        <w:rPr>
          <w:rFonts w:ascii="Poppins" w:hAnsi="Poppins" w:cs="Poppins"/>
          <w:lang w:val="en-US"/>
        </w:rPr>
        <w:t>performance management and remuneration</w:t>
      </w:r>
      <w:r w:rsidR="000F3609" w:rsidRPr="00637B52">
        <w:rPr>
          <w:rFonts w:ascii="Poppins" w:hAnsi="Poppins" w:cs="Poppins"/>
          <w:lang w:val="en-US"/>
        </w:rPr>
        <w:t xml:space="preserve"> </w:t>
      </w:r>
      <w:r w:rsidR="00EB0BEC" w:rsidRPr="00637B52">
        <w:rPr>
          <w:rFonts w:ascii="Poppins" w:hAnsi="Poppins" w:cs="Poppins"/>
          <w:lang w:val="en-US"/>
        </w:rPr>
        <w:t>which avoid</w:t>
      </w:r>
      <w:r w:rsidR="000F3609" w:rsidRPr="00637B52">
        <w:rPr>
          <w:rFonts w:ascii="Poppins" w:hAnsi="Poppins" w:cs="Poppins"/>
          <w:lang w:val="en-US"/>
        </w:rPr>
        <w:t>s</w:t>
      </w:r>
      <w:r w:rsidR="00EB0BEC" w:rsidRPr="00637B52">
        <w:rPr>
          <w:rFonts w:ascii="Poppins" w:hAnsi="Poppins" w:cs="Poppins"/>
          <w:lang w:val="en-US"/>
        </w:rPr>
        <w:t xml:space="preserve"> gender discrimination or any other type of discrimination.</w:t>
      </w:r>
      <w:r w:rsidR="000F3609" w:rsidRPr="00637B52">
        <w:rPr>
          <w:rFonts w:ascii="Poppins" w:hAnsi="Poppins" w:cs="Poppins"/>
          <w:lang w:val="en-US"/>
        </w:rPr>
        <w:t xml:space="preserve"> The SVP is</w:t>
      </w:r>
      <w:r w:rsidR="001E5206" w:rsidRPr="00637B52">
        <w:rPr>
          <w:rFonts w:ascii="Poppins" w:hAnsi="Poppins" w:cs="Poppins"/>
          <w:lang w:val="en-US"/>
        </w:rPr>
        <w:t xml:space="preserve"> committed to promoting the benefits of equality, diversity and inclusion (EDI) across the </w:t>
      </w:r>
      <w:proofErr w:type="spellStart"/>
      <w:r w:rsidR="000F3609" w:rsidRPr="00637B52">
        <w:rPr>
          <w:rFonts w:ascii="Poppins" w:hAnsi="Poppins" w:cs="Poppins"/>
          <w:lang w:val="en-US"/>
        </w:rPr>
        <w:t>organisation</w:t>
      </w:r>
      <w:proofErr w:type="spellEnd"/>
      <w:r w:rsidR="000F3609" w:rsidRPr="00637B52">
        <w:rPr>
          <w:rFonts w:ascii="Poppins" w:hAnsi="Poppins" w:cs="Poppins"/>
          <w:lang w:val="en-US"/>
        </w:rPr>
        <w:t xml:space="preserve"> </w:t>
      </w:r>
      <w:r w:rsidR="001A31DD" w:rsidRPr="00637B52">
        <w:rPr>
          <w:rFonts w:ascii="Poppins" w:hAnsi="Poppins" w:cs="Poppins"/>
          <w:lang w:val="en-US"/>
        </w:rPr>
        <w:t>and has strategies</w:t>
      </w:r>
      <w:r w:rsidR="005600EB" w:rsidRPr="00637B52">
        <w:rPr>
          <w:rFonts w:ascii="Poppins" w:hAnsi="Poppins" w:cs="Poppins"/>
          <w:lang w:val="en-US"/>
        </w:rPr>
        <w:t xml:space="preserve"> and training</w:t>
      </w:r>
      <w:r w:rsidR="001A31DD" w:rsidRPr="00637B52">
        <w:rPr>
          <w:rFonts w:ascii="Poppins" w:hAnsi="Poppins" w:cs="Poppins"/>
          <w:lang w:val="en-US"/>
        </w:rPr>
        <w:t xml:space="preserve"> in place th</w:t>
      </w:r>
      <w:r w:rsidR="001E5206" w:rsidRPr="00637B52">
        <w:rPr>
          <w:rFonts w:ascii="Poppins" w:hAnsi="Poppins" w:cs="Poppins"/>
          <w:lang w:val="en-US"/>
        </w:rPr>
        <w:t xml:space="preserve">at focus on improving the diversity of our workforce and embedding equality &amp; inclusion. </w:t>
      </w:r>
    </w:p>
    <w:p w14:paraId="258459FF" w14:textId="51BE22CB" w:rsidR="007A283F" w:rsidRPr="00637B52" w:rsidRDefault="007A283F" w:rsidP="007A283F">
      <w:pPr>
        <w:rPr>
          <w:rFonts w:ascii="Poppins" w:hAnsi="Poppins" w:cs="Poppins"/>
          <w:lang w:val="en-US"/>
        </w:rPr>
      </w:pPr>
      <w:r w:rsidRPr="00637B52">
        <w:rPr>
          <w:rFonts w:ascii="Poppins" w:hAnsi="Poppins" w:cs="Poppins"/>
          <w:lang w:val="en-US"/>
        </w:rPr>
        <w:t xml:space="preserve">The SVP is a Real Living Wage employer and follows a pay banding structure across the </w:t>
      </w:r>
      <w:proofErr w:type="spellStart"/>
      <w:r w:rsidRPr="00637B52">
        <w:rPr>
          <w:rFonts w:ascii="Poppins" w:hAnsi="Poppins" w:cs="Poppins"/>
          <w:lang w:val="en-US"/>
        </w:rPr>
        <w:t>organisation</w:t>
      </w:r>
      <w:proofErr w:type="spellEnd"/>
      <w:r w:rsidRPr="00637B52">
        <w:rPr>
          <w:rFonts w:ascii="Poppins" w:hAnsi="Poppins" w:cs="Poppins"/>
          <w:lang w:val="en-US"/>
        </w:rPr>
        <w:t xml:space="preserve">. Roles sit within one of nine bands (Assistant, Officer, Supervisor, Junior Manager, Manager, Senior Manager, Head of, Director and Executive), and each band has an associated pay range. Specialist roles receive a percentage uplift within their retrospective band. </w:t>
      </w:r>
      <w:r w:rsidR="00827DBB" w:rsidRPr="00637B52">
        <w:rPr>
          <w:rFonts w:ascii="Poppins" w:hAnsi="Poppins" w:cs="Poppins"/>
          <w:lang w:val="en-US"/>
        </w:rPr>
        <w:t xml:space="preserve">Thorough </w:t>
      </w:r>
      <w:r w:rsidRPr="00637B52">
        <w:rPr>
          <w:rFonts w:ascii="Poppins" w:hAnsi="Poppins" w:cs="Poppins"/>
          <w:lang w:val="en-US"/>
        </w:rPr>
        <w:t xml:space="preserve">pay reviews </w:t>
      </w:r>
      <w:r w:rsidR="00827DBB" w:rsidRPr="00637B52">
        <w:rPr>
          <w:rFonts w:ascii="Poppins" w:hAnsi="Poppins" w:cs="Poppins"/>
          <w:lang w:val="en-US"/>
        </w:rPr>
        <w:t xml:space="preserve">are conducted for all staff </w:t>
      </w:r>
      <w:r w:rsidR="005257B8" w:rsidRPr="00637B52">
        <w:rPr>
          <w:rFonts w:ascii="Poppins" w:hAnsi="Poppins" w:cs="Poppins"/>
          <w:lang w:val="en-US"/>
        </w:rPr>
        <w:t>on an annual basis</w:t>
      </w:r>
      <w:r w:rsidRPr="00637B52">
        <w:rPr>
          <w:rFonts w:ascii="Poppins" w:hAnsi="Poppins" w:cs="Poppins"/>
          <w:lang w:val="en-US"/>
        </w:rPr>
        <w:t xml:space="preserve"> taking into account various factors including </w:t>
      </w:r>
      <w:r w:rsidR="005257B8" w:rsidRPr="00637B52">
        <w:rPr>
          <w:rFonts w:ascii="Poppins" w:hAnsi="Poppins" w:cs="Poppins"/>
          <w:lang w:val="en-US"/>
        </w:rPr>
        <w:t xml:space="preserve">SVP bandings, </w:t>
      </w:r>
      <w:r w:rsidRPr="00637B52">
        <w:rPr>
          <w:rFonts w:ascii="Poppins" w:hAnsi="Poppins" w:cs="Poppins"/>
          <w:lang w:val="en-US"/>
        </w:rPr>
        <w:t xml:space="preserve">living wage increases, affordability and external benchmarking. </w:t>
      </w:r>
      <w:r w:rsidR="00E31571" w:rsidRPr="00637B52">
        <w:rPr>
          <w:rFonts w:ascii="Poppins" w:hAnsi="Poppins" w:cs="Poppins"/>
          <w:lang w:val="en-US"/>
        </w:rPr>
        <w:t xml:space="preserve">This means that </w:t>
      </w:r>
      <w:r w:rsidR="00E31571" w:rsidRPr="00637B52">
        <w:rPr>
          <w:rFonts w:ascii="Poppins" w:hAnsi="Poppins" w:cs="Poppins"/>
        </w:rPr>
        <w:t xml:space="preserve">pay </w:t>
      </w:r>
      <w:r w:rsidR="00E31571" w:rsidRPr="00637B52">
        <w:rPr>
          <w:rFonts w:ascii="Poppins" w:hAnsi="Poppins" w:cs="Poppins"/>
        </w:rPr>
        <w:t>is</w:t>
      </w:r>
      <w:r w:rsidR="00E31571" w:rsidRPr="00637B52">
        <w:rPr>
          <w:rFonts w:ascii="Poppins" w:hAnsi="Poppins" w:cs="Poppins"/>
        </w:rPr>
        <w:t xml:space="preserve"> managed for jobs of equal size across all parts of the organisation.</w:t>
      </w:r>
    </w:p>
    <w:p w14:paraId="4F383B41" w14:textId="77777777" w:rsidR="00637B52" w:rsidRDefault="00637B52" w:rsidP="007A283F">
      <w:pPr>
        <w:rPr>
          <w:rFonts w:ascii="Poppins" w:hAnsi="Poppins" w:cs="Poppins"/>
          <w:lang w:val="en-US"/>
        </w:rPr>
      </w:pPr>
    </w:p>
    <w:p w14:paraId="07C029D6" w14:textId="77777777" w:rsidR="00637B52" w:rsidRDefault="00637B52" w:rsidP="007A283F">
      <w:pPr>
        <w:rPr>
          <w:rFonts w:ascii="Poppins" w:hAnsi="Poppins" w:cs="Poppins"/>
          <w:lang w:val="en-US"/>
        </w:rPr>
      </w:pPr>
    </w:p>
    <w:p w14:paraId="4D0E7D0A" w14:textId="486C26D2" w:rsidR="007761B6" w:rsidRPr="00637B52" w:rsidRDefault="007761B6" w:rsidP="007A283F">
      <w:pPr>
        <w:rPr>
          <w:rFonts w:ascii="Poppins" w:hAnsi="Poppins" w:cs="Poppins"/>
          <w:lang w:val="en-US"/>
        </w:rPr>
      </w:pPr>
      <w:r w:rsidRPr="00637B52">
        <w:rPr>
          <w:rFonts w:ascii="Poppins" w:hAnsi="Poppins" w:cs="Poppins"/>
          <w:lang w:val="en-US"/>
        </w:rPr>
        <w:t xml:space="preserve">This year the SVP implemented a new recruitment system which </w:t>
      </w:r>
      <w:r w:rsidR="004337EC" w:rsidRPr="00637B52">
        <w:rPr>
          <w:rFonts w:ascii="Poppins" w:hAnsi="Poppins" w:cs="Poppins"/>
          <w:lang w:val="en-US"/>
        </w:rPr>
        <w:t>excludes sensitive dat</w:t>
      </w:r>
      <w:r w:rsidR="009902A4" w:rsidRPr="00637B52">
        <w:rPr>
          <w:rFonts w:ascii="Poppins" w:hAnsi="Poppins" w:cs="Poppins"/>
          <w:lang w:val="en-US"/>
        </w:rPr>
        <w:t>a such as sex, age</w:t>
      </w:r>
      <w:r w:rsidR="00737104" w:rsidRPr="00637B52">
        <w:rPr>
          <w:rFonts w:ascii="Poppins" w:hAnsi="Poppins" w:cs="Poppins"/>
          <w:lang w:val="en-US"/>
        </w:rPr>
        <w:t xml:space="preserve">, ethnicity etc. </w:t>
      </w:r>
      <w:r w:rsidR="00740DF3" w:rsidRPr="00637B52">
        <w:rPr>
          <w:rFonts w:ascii="Poppins" w:hAnsi="Poppins" w:cs="Poppins"/>
          <w:lang w:val="en-US"/>
        </w:rPr>
        <w:t>throughout the shortlisting process</w:t>
      </w:r>
      <w:r w:rsidR="009902A4" w:rsidRPr="00637B52">
        <w:rPr>
          <w:rFonts w:ascii="Poppins" w:hAnsi="Poppins" w:cs="Poppins"/>
          <w:lang w:val="en-US"/>
        </w:rPr>
        <w:t xml:space="preserve"> to eliminate discrimination.</w:t>
      </w:r>
      <w:r w:rsidR="00737104" w:rsidRPr="00637B52">
        <w:rPr>
          <w:rFonts w:ascii="Poppins" w:hAnsi="Poppins" w:cs="Poppins"/>
          <w:lang w:val="en-US"/>
        </w:rPr>
        <w:t xml:space="preserve"> </w:t>
      </w:r>
      <w:r w:rsidR="008033E2" w:rsidRPr="00637B52">
        <w:rPr>
          <w:rFonts w:ascii="Poppins" w:hAnsi="Poppins" w:cs="Poppins"/>
          <w:lang w:val="en-US"/>
        </w:rPr>
        <w:t xml:space="preserve">The recruitment policy and process is currently undergoing a full review </w:t>
      </w:r>
      <w:r w:rsidR="00637B52" w:rsidRPr="00637B52">
        <w:rPr>
          <w:rFonts w:ascii="Poppins" w:hAnsi="Poppins" w:cs="Poppins"/>
          <w:lang w:val="en-US"/>
        </w:rPr>
        <w:t xml:space="preserve">to </w:t>
      </w:r>
      <w:r w:rsidR="00D03CBE">
        <w:rPr>
          <w:rFonts w:ascii="Poppins" w:hAnsi="Poppins" w:cs="Poppins"/>
          <w:lang w:val="en-US"/>
        </w:rPr>
        <w:t xml:space="preserve">increase the diversity of candidate pools </w:t>
      </w:r>
      <w:r w:rsidR="005B0B55">
        <w:rPr>
          <w:rFonts w:ascii="Poppins" w:hAnsi="Poppins" w:cs="Poppins"/>
          <w:lang w:val="en-US"/>
        </w:rPr>
        <w:t xml:space="preserve">and implement additional data collection to enable us to improve </w:t>
      </w:r>
      <w:r w:rsidR="00582E73">
        <w:rPr>
          <w:rFonts w:ascii="Poppins" w:hAnsi="Poppins" w:cs="Poppins"/>
          <w:lang w:val="en-US"/>
        </w:rPr>
        <w:t xml:space="preserve">metrics. </w:t>
      </w:r>
    </w:p>
    <w:p w14:paraId="71F61F65" w14:textId="77777777" w:rsidR="00582E73" w:rsidRDefault="00582E73" w:rsidP="00582E73">
      <w:pPr>
        <w:rPr>
          <w:rFonts w:ascii="Poppins" w:hAnsi="Poppins" w:cs="Poppins"/>
          <w:b/>
          <w:bCs/>
          <w:u w:val="single"/>
          <w:lang w:val="en-US"/>
        </w:rPr>
      </w:pPr>
    </w:p>
    <w:p w14:paraId="19D73702" w14:textId="6B172512" w:rsidR="00637B52" w:rsidRPr="00582E73" w:rsidRDefault="00637B52" w:rsidP="00582E73">
      <w:pPr>
        <w:rPr>
          <w:rFonts w:ascii="Poppins" w:hAnsi="Poppins" w:cs="Poppins"/>
          <w:b/>
          <w:bCs/>
          <w:u w:val="single"/>
          <w:lang w:val="en-US"/>
        </w:rPr>
      </w:pPr>
      <w:r w:rsidRPr="00582E73">
        <w:rPr>
          <w:rFonts w:ascii="Poppins" w:hAnsi="Poppins" w:cs="Poppins"/>
          <w:b/>
          <w:bCs/>
          <w:u w:val="single"/>
          <w:lang w:val="en-US"/>
        </w:rPr>
        <w:t>Written Statement</w:t>
      </w:r>
    </w:p>
    <w:p w14:paraId="70660444" w14:textId="77777777" w:rsidR="00637B52" w:rsidRPr="00582E73" w:rsidRDefault="00637B52" w:rsidP="00582E73">
      <w:pPr>
        <w:spacing w:after="0"/>
        <w:rPr>
          <w:rFonts w:ascii="Poppins" w:hAnsi="Poppins" w:cs="Poppins"/>
          <w:lang w:val="en-US"/>
        </w:rPr>
      </w:pPr>
      <w:r w:rsidRPr="00582E73">
        <w:rPr>
          <w:rFonts w:ascii="Poppins" w:hAnsi="Poppins" w:cs="Poppins"/>
          <w:lang w:val="en-US"/>
        </w:rPr>
        <w:t>The CEO of the St Vincent de Paul Society (England and Wales), Kate Nightingale, confirms that the information is accurate as at the time of publishing.</w:t>
      </w:r>
    </w:p>
    <w:p w14:paraId="25C7F394" w14:textId="77777777" w:rsidR="001E5206" w:rsidRPr="00637B52" w:rsidRDefault="001E5206" w:rsidP="001E5206">
      <w:pPr>
        <w:rPr>
          <w:rFonts w:ascii="Poppins" w:hAnsi="Poppins" w:cs="Poppins"/>
          <w:lang w:val="en-US"/>
        </w:rPr>
      </w:pPr>
    </w:p>
    <w:p w14:paraId="553DD247" w14:textId="77777777" w:rsidR="001E5206" w:rsidRPr="00637B52" w:rsidRDefault="001E5206" w:rsidP="38FAC089">
      <w:pPr>
        <w:spacing w:line="240" w:lineRule="auto"/>
        <w:jc w:val="both"/>
        <w:rPr>
          <w:rFonts w:ascii="Poppins" w:hAnsi="Poppins" w:cs="Poppins"/>
        </w:rPr>
      </w:pPr>
    </w:p>
    <w:p w14:paraId="0F9923E8" w14:textId="77777777" w:rsidR="00955018" w:rsidRPr="00637B52" w:rsidRDefault="00955018" w:rsidP="00955018">
      <w:pPr>
        <w:spacing w:after="0"/>
        <w:rPr>
          <w:rFonts w:ascii="Poppins" w:hAnsi="Poppins" w:cs="Poppins"/>
        </w:rPr>
      </w:pPr>
    </w:p>
    <w:p w14:paraId="44E247B2" w14:textId="5E371E34" w:rsidR="00955018" w:rsidRPr="00637B52" w:rsidRDefault="00955018" w:rsidP="00955018">
      <w:pPr>
        <w:spacing w:after="0"/>
        <w:rPr>
          <w:rFonts w:ascii="Poppins" w:hAnsi="Poppins" w:cs="Poppins"/>
        </w:rPr>
      </w:pPr>
      <w:r w:rsidRPr="00637B52">
        <w:rPr>
          <w:rFonts w:ascii="Poppins" w:hAnsi="Poppins" w:cs="Poppins"/>
        </w:rPr>
        <w:t xml:space="preserve"> </w:t>
      </w:r>
    </w:p>
    <w:sectPr w:rsidR="00955018" w:rsidRPr="00637B52" w:rsidSect="00312161">
      <w:headerReference w:type="default" r:id="rId14"/>
      <w:footerReference w:type="default" r:id="rId15"/>
      <w:headerReference w:type="first" r:id="rId16"/>
      <w:footerReference w:type="first" r:id="rId17"/>
      <w:pgSz w:w="11906" w:h="16838"/>
      <w:pgMar w:top="1440" w:right="1440" w:bottom="1440" w:left="1440" w:header="708" w:footer="35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9307A9" w14:textId="77777777" w:rsidR="0068763E" w:rsidRDefault="0068763E" w:rsidP="00570A12">
      <w:pPr>
        <w:spacing w:after="0" w:line="240" w:lineRule="auto"/>
      </w:pPr>
      <w:r>
        <w:separator/>
      </w:r>
    </w:p>
  </w:endnote>
  <w:endnote w:type="continuationSeparator" w:id="0">
    <w:p w14:paraId="76E1AB9B" w14:textId="77777777" w:rsidR="0068763E" w:rsidRDefault="0068763E" w:rsidP="00570A12">
      <w:pPr>
        <w:spacing w:after="0" w:line="240" w:lineRule="auto"/>
      </w:pPr>
      <w:r>
        <w:continuationSeparator/>
      </w:r>
    </w:p>
  </w:endnote>
  <w:endnote w:type="continuationNotice" w:id="1">
    <w:p w14:paraId="5C0C6E19" w14:textId="77777777" w:rsidR="0068763E" w:rsidRDefault="0068763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Poppins">
    <w:altName w:val="Poppins"/>
    <w:charset w:val="00"/>
    <w:family w:val="auto"/>
    <w:pitch w:val="variable"/>
    <w:sig w:usb0="00008007" w:usb1="00000000" w:usb2="00000000" w:usb3="00000000" w:csb0="000000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A9B76" w14:textId="74D571AA" w:rsidR="00570A12" w:rsidRDefault="00570A12" w:rsidP="0008622C">
    <w:pPr>
      <w:pStyle w:val="Footer"/>
      <w:tabs>
        <w:tab w:val="clear" w:pos="4513"/>
        <w:tab w:val="clear" w:pos="9026"/>
        <w:tab w:val="left" w:pos="3801"/>
        <w:tab w:val="left" w:pos="7655"/>
      </w:tabs>
      <w:ind w:right="-330"/>
      <w:rPr>
        <w:rFonts w:ascii="Poppins" w:hAnsi="Poppins" w:cs="Poppins"/>
        <w:sz w:val="16"/>
        <w:szCs w:val="16"/>
      </w:rPr>
    </w:pPr>
  </w:p>
  <w:p w14:paraId="7F0D6AFB" w14:textId="7FA64C71" w:rsidR="00570A12" w:rsidRPr="00A32DD5" w:rsidRDefault="00570A12" w:rsidP="00570A12">
    <w:pPr>
      <w:pStyle w:val="Footer"/>
      <w:tabs>
        <w:tab w:val="clear" w:pos="4513"/>
        <w:tab w:val="clear" w:pos="9026"/>
        <w:tab w:val="left" w:pos="3801"/>
        <w:tab w:val="left" w:pos="7655"/>
      </w:tabs>
      <w:ind w:left="-284" w:right="-330"/>
      <w:jc w:val="center"/>
      <w:rPr>
        <w:rFonts w:ascii="Poppins" w:hAnsi="Poppins" w:cs="Poppins"/>
        <w:sz w:val="16"/>
        <w:szCs w:val="16"/>
      </w:rPr>
    </w:pPr>
    <w:r w:rsidRPr="00A32DD5">
      <w:rPr>
        <w:rFonts w:ascii="Poppins" w:hAnsi="Poppins" w:cs="Poppins"/>
        <w:sz w:val="16"/>
        <w:szCs w:val="16"/>
      </w:rPr>
      <w:t>Registered charity number 1053992 A company limited by guarantee in England and Wales 3174679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00D63A" w14:textId="75D338EE" w:rsidR="00312161" w:rsidRPr="00A32DD5" w:rsidRDefault="00312161" w:rsidP="00312161">
    <w:pPr>
      <w:pStyle w:val="Footer"/>
      <w:tabs>
        <w:tab w:val="clear" w:pos="4513"/>
        <w:tab w:val="clear" w:pos="9026"/>
        <w:tab w:val="left" w:pos="3261"/>
        <w:tab w:val="left" w:pos="7655"/>
      </w:tabs>
      <w:ind w:left="-284" w:right="-330"/>
      <w:rPr>
        <w:rFonts w:ascii="Poppins" w:hAnsi="Poppins" w:cs="Poppins"/>
        <w:sz w:val="16"/>
        <w:szCs w:val="16"/>
      </w:rPr>
    </w:pPr>
    <w:r w:rsidRPr="00A32DD5">
      <w:rPr>
        <w:rFonts w:ascii="Poppins" w:hAnsi="Poppins" w:cs="Poppins"/>
        <w:sz w:val="16"/>
        <w:szCs w:val="16"/>
      </w:rPr>
      <w:t>www.svp.org.uk</w:t>
    </w:r>
    <w:r w:rsidRPr="00A32DD5">
      <w:rPr>
        <w:rFonts w:ascii="Poppins" w:hAnsi="Poppins" w:cs="Poppins"/>
        <w:sz w:val="16"/>
        <w:szCs w:val="16"/>
      </w:rPr>
      <w:tab/>
    </w:r>
    <w:r w:rsidRPr="00A32DD5">
      <w:rPr>
        <w:rFonts w:ascii="Poppins" w:hAnsi="Poppins" w:cs="Poppins"/>
        <w:sz w:val="16"/>
        <w:szCs w:val="16"/>
      </w:rPr>
      <w:tab/>
    </w:r>
    <w:r w:rsidR="00ED7300">
      <w:rPr>
        <w:rFonts w:ascii="Poppins" w:hAnsi="Poppins" w:cs="Poppins"/>
        <w:b/>
        <w:bCs/>
        <w:sz w:val="16"/>
        <w:szCs w:val="16"/>
      </w:rPr>
      <w:t>Registered Address</w:t>
    </w:r>
    <w:r w:rsidRPr="00A32DD5">
      <w:rPr>
        <w:rFonts w:ascii="Poppins" w:hAnsi="Poppins" w:cs="Poppins"/>
        <w:sz w:val="16"/>
        <w:szCs w:val="16"/>
      </w:rPr>
      <w:br/>
      <w:t>info@svp.org.uk</w:t>
    </w:r>
    <w:r w:rsidRPr="00A32DD5">
      <w:rPr>
        <w:rFonts w:ascii="Poppins" w:hAnsi="Poppins" w:cs="Poppins"/>
        <w:sz w:val="16"/>
        <w:szCs w:val="16"/>
      </w:rPr>
      <w:tab/>
    </w:r>
    <w:r w:rsidRPr="00A32DD5">
      <w:rPr>
        <w:rFonts w:ascii="Poppins" w:hAnsi="Poppins" w:cs="Poppins"/>
        <w:sz w:val="16"/>
        <w:szCs w:val="16"/>
      </w:rPr>
      <w:tab/>
      <w:t>Allenby House</w:t>
    </w:r>
    <w:r w:rsidRPr="00A32DD5">
      <w:rPr>
        <w:rFonts w:ascii="Poppins" w:hAnsi="Poppins" w:cs="Poppins"/>
        <w:sz w:val="16"/>
        <w:szCs w:val="16"/>
      </w:rPr>
      <w:br/>
      <w:t>London 020 7703 3030</w:t>
    </w:r>
    <w:r w:rsidRPr="00A32DD5">
      <w:rPr>
        <w:rFonts w:ascii="Poppins" w:hAnsi="Poppins" w:cs="Poppins"/>
        <w:sz w:val="16"/>
        <w:szCs w:val="16"/>
      </w:rPr>
      <w:tab/>
    </w:r>
    <w:r w:rsidRPr="00A32DD5">
      <w:rPr>
        <w:rFonts w:ascii="Poppins" w:hAnsi="Poppins" w:cs="Poppins"/>
        <w:sz w:val="16"/>
        <w:szCs w:val="16"/>
      </w:rPr>
      <w:tab/>
      <w:t>Rees Way</w:t>
    </w:r>
    <w:r w:rsidRPr="00A32DD5">
      <w:rPr>
        <w:rFonts w:ascii="Poppins" w:hAnsi="Poppins" w:cs="Poppins"/>
        <w:sz w:val="16"/>
        <w:szCs w:val="16"/>
      </w:rPr>
      <w:br/>
      <w:t>Bradford 01274 513 045</w:t>
    </w:r>
    <w:r w:rsidRPr="00A32DD5">
      <w:rPr>
        <w:rFonts w:ascii="Poppins" w:hAnsi="Poppins" w:cs="Poppins"/>
        <w:sz w:val="16"/>
        <w:szCs w:val="16"/>
      </w:rPr>
      <w:tab/>
    </w:r>
    <w:r w:rsidRPr="00A32DD5">
      <w:rPr>
        <w:rFonts w:ascii="Poppins" w:hAnsi="Poppins" w:cs="Poppins"/>
        <w:sz w:val="16"/>
        <w:szCs w:val="16"/>
      </w:rPr>
      <w:tab/>
      <w:t>Bradford BD3 0DZ</w:t>
    </w:r>
  </w:p>
  <w:p w14:paraId="30276C5A" w14:textId="77777777" w:rsidR="00312161" w:rsidRPr="00A32DD5" w:rsidRDefault="00312161" w:rsidP="00312161">
    <w:pPr>
      <w:pStyle w:val="Footer"/>
      <w:tabs>
        <w:tab w:val="clear" w:pos="4513"/>
        <w:tab w:val="clear" w:pos="9026"/>
        <w:tab w:val="left" w:pos="3801"/>
        <w:tab w:val="left" w:pos="7655"/>
      </w:tabs>
      <w:ind w:left="-284" w:right="-330"/>
      <w:rPr>
        <w:rFonts w:ascii="Poppins" w:hAnsi="Poppins" w:cs="Poppins"/>
        <w:sz w:val="16"/>
        <w:szCs w:val="16"/>
      </w:rPr>
    </w:pPr>
  </w:p>
  <w:p w14:paraId="73748724" w14:textId="77777777" w:rsidR="00312161" w:rsidRPr="00A32DD5" w:rsidRDefault="00312161" w:rsidP="00312161">
    <w:pPr>
      <w:pStyle w:val="Footer"/>
      <w:tabs>
        <w:tab w:val="clear" w:pos="4513"/>
        <w:tab w:val="clear" w:pos="9026"/>
        <w:tab w:val="left" w:pos="3801"/>
        <w:tab w:val="left" w:pos="7655"/>
      </w:tabs>
      <w:ind w:left="-284" w:right="-330"/>
      <w:jc w:val="center"/>
      <w:rPr>
        <w:rFonts w:ascii="Poppins" w:hAnsi="Poppins" w:cs="Poppins"/>
        <w:sz w:val="16"/>
        <w:szCs w:val="16"/>
      </w:rPr>
    </w:pPr>
    <w:r w:rsidRPr="00A32DD5">
      <w:rPr>
        <w:rFonts w:ascii="Poppins" w:hAnsi="Poppins" w:cs="Poppins"/>
        <w:sz w:val="16"/>
        <w:szCs w:val="16"/>
      </w:rPr>
      <w:t>Registered charity number 1053992 A company limited by guarantee in England and Wales 3174679</w:t>
    </w:r>
  </w:p>
  <w:p w14:paraId="0AAF5A86" w14:textId="77777777" w:rsidR="003F41FD" w:rsidRDefault="003F41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5A08A8" w14:textId="77777777" w:rsidR="0068763E" w:rsidRDefault="0068763E" w:rsidP="00570A12">
      <w:pPr>
        <w:spacing w:after="0" w:line="240" w:lineRule="auto"/>
      </w:pPr>
      <w:r>
        <w:separator/>
      </w:r>
    </w:p>
  </w:footnote>
  <w:footnote w:type="continuationSeparator" w:id="0">
    <w:p w14:paraId="3A36BAD9" w14:textId="77777777" w:rsidR="0068763E" w:rsidRDefault="0068763E" w:rsidP="00570A12">
      <w:pPr>
        <w:spacing w:after="0" w:line="240" w:lineRule="auto"/>
      </w:pPr>
      <w:r>
        <w:continuationSeparator/>
      </w:r>
    </w:p>
  </w:footnote>
  <w:footnote w:type="continuationNotice" w:id="1">
    <w:p w14:paraId="18784CD1" w14:textId="77777777" w:rsidR="0068763E" w:rsidRDefault="0068763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EF8B1A" w14:textId="78468D8F" w:rsidR="00570A12" w:rsidRDefault="00570A12" w:rsidP="00570A12">
    <w:pPr>
      <w:pStyle w:val="Header"/>
      <w:ind w:left="-284"/>
    </w:pPr>
    <w:r>
      <w:rPr>
        <w:noProof/>
      </w:rPr>
      <w:softHyphen/>
    </w:r>
    <w:r>
      <w:rPr>
        <w:noProof/>
      </w:rPr>
      <w:drawing>
        <wp:inline distT="0" distB="0" distL="0" distR="0" wp14:anchorId="351EF769" wp14:editId="52518C89">
          <wp:extent cx="1996440" cy="706473"/>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6440" cy="706473"/>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CCC45" w14:textId="77777777" w:rsidR="0008622C" w:rsidRDefault="0008622C">
    <w:pPr>
      <w:pStyle w:val="Header"/>
    </w:pPr>
    <w:r>
      <w:rPr>
        <w:noProof/>
      </w:rPr>
      <w:drawing>
        <wp:inline distT="0" distB="0" distL="0" distR="0" wp14:anchorId="64DB4BA4" wp14:editId="5B26C3A9">
          <wp:extent cx="2072604" cy="733425"/>
          <wp:effectExtent l="0" t="0" r="4445" b="0"/>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10937" cy="7469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74EEE"/>
    <w:multiLevelType w:val="hybridMultilevel"/>
    <w:tmpl w:val="745C7788"/>
    <w:lvl w:ilvl="0" w:tplc="67E64442">
      <w:numFmt w:val="bullet"/>
      <w:lvlText w:val="•"/>
      <w:lvlJc w:val="left"/>
      <w:pPr>
        <w:ind w:left="1080" w:hanging="72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F96D3C"/>
    <w:multiLevelType w:val="hybridMultilevel"/>
    <w:tmpl w:val="B8AAFE4A"/>
    <w:lvl w:ilvl="0" w:tplc="24A2DB9E">
      <w:start w:val="1"/>
      <w:numFmt w:val="bullet"/>
      <w:lvlText w:val=""/>
      <w:lvlJc w:val="left"/>
      <w:pPr>
        <w:ind w:left="720" w:hanging="360"/>
      </w:pPr>
      <w:rPr>
        <w:rFonts w:ascii="Symbol" w:hAnsi="Symbol" w:hint="default"/>
      </w:rPr>
    </w:lvl>
    <w:lvl w:ilvl="1" w:tplc="FEBC24C0">
      <w:start w:val="1"/>
      <w:numFmt w:val="bullet"/>
      <w:lvlText w:val="o"/>
      <w:lvlJc w:val="left"/>
      <w:pPr>
        <w:ind w:left="1440" w:hanging="360"/>
      </w:pPr>
      <w:rPr>
        <w:rFonts w:ascii="Courier New" w:hAnsi="Courier New" w:hint="default"/>
      </w:rPr>
    </w:lvl>
    <w:lvl w:ilvl="2" w:tplc="28CC6DB4">
      <w:start w:val="1"/>
      <w:numFmt w:val="bullet"/>
      <w:lvlText w:val=""/>
      <w:lvlJc w:val="left"/>
      <w:pPr>
        <w:ind w:left="2160" w:hanging="360"/>
      </w:pPr>
      <w:rPr>
        <w:rFonts w:ascii="Wingdings" w:hAnsi="Wingdings" w:hint="default"/>
      </w:rPr>
    </w:lvl>
    <w:lvl w:ilvl="3" w:tplc="2FC63108">
      <w:start w:val="1"/>
      <w:numFmt w:val="bullet"/>
      <w:lvlText w:val=""/>
      <w:lvlJc w:val="left"/>
      <w:pPr>
        <w:ind w:left="2880" w:hanging="360"/>
      </w:pPr>
      <w:rPr>
        <w:rFonts w:ascii="Symbol" w:hAnsi="Symbol" w:hint="default"/>
      </w:rPr>
    </w:lvl>
    <w:lvl w:ilvl="4" w:tplc="7798A14A">
      <w:start w:val="1"/>
      <w:numFmt w:val="bullet"/>
      <w:lvlText w:val="o"/>
      <w:lvlJc w:val="left"/>
      <w:pPr>
        <w:ind w:left="3600" w:hanging="360"/>
      </w:pPr>
      <w:rPr>
        <w:rFonts w:ascii="Courier New" w:hAnsi="Courier New" w:hint="default"/>
      </w:rPr>
    </w:lvl>
    <w:lvl w:ilvl="5" w:tplc="3EA6F3E2">
      <w:start w:val="1"/>
      <w:numFmt w:val="bullet"/>
      <w:lvlText w:val=""/>
      <w:lvlJc w:val="left"/>
      <w:pPr>
        <w:ind w:left="4320" w:hanging="360"/>
      </w:pPr>
      <w:rPr>
        <w:rFonts w:ascii="Wingdings" w:hAnsi="Wingdings" w:hint="default"/>
      </w:rPr>
    </w:lvl>
    <w:lvl w:ilvl="6" w:tplc="B01EFA00">
      <w:start w:val="1"/>
      <w:numFmt w:val="bullet"/>
      <w:lvlText w:val=""/>
      <w:lvlJc w:val="left"/>
      <w:pPr>
        <w:ind w:left="5040" w:hanging="360"/>
      </w:pPr>
      <w:rPr>
        <w:rFonts w:ascii="Symbol" w:hAnsi="Symbol" w:hint="default"/>
      </w:rPr>
    </w:lvl>
    <w:lvl w:ilvl="7" w:tplc="70468550">
      <w:start w:val="1"/>
      <w:numFmt w:val="bullet"/>
      <w:lvlText w:val="o"/>
      <w:lvlJc w:val="left"/>
      <w:pPr>
        <w:ind w:left="5760" w:hanging="360"/>
      </w:pPr>
      <w:rPr>
        <w:rFonts w:ascii="Courier New" w:hAnsi="Courier New" w:hint="default"/>
      </w:rPr>
    </w:lvl>
    <w:lvl w:ilvl="8" w:tplc="D53E34E0">
      <w:start w:val="1"/>
      <w:numFmt w:val="bullet"/>
      <w:lvlText w:val=""/>
      <w:lvlJc w:val="left"/>
      <w:pPr>
        <w:ind w:left="6480" w:hanging="360"/>
      </w:pPr>
      <w:rPr>
        <w:rFonts w:ascii="Wingdings" w:hAnsi="Wingdings" w:hint="default"/>
      </w:rPr>
    </w:lvl>
  </w:abstractNum>
  <w:abstractNum w:abstractNumId="2" w15:restartNumberingAfterBreak="0">
    <w:nsid w:val="46840B80"/>
    <w:multiLevelType w:val="multilevel"/>
    <w:tmpl w:val="9DDC874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4E6E1F46"/>
    <w:multiLevelType w:val="hybridMultilevel"/>
    <w:tmpl w:val="F5B24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9AA2ADD"/>
    <w:multiLevelType w:val="hybridMultilevel"/>
    <w:tmpl w:val="3DC65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39949853">
    <w:abstractNumId w:val="1"/>
  </w:num>
  <w:num w:numId="2" w16cid:durableId="652029492">
    <w:abstractNumId w:val="4"/>
  </w:num>
  <w:num w:numId="3" w16cid:durableId="168570817">
    <w:abstractNumId w:val="3"/>
  </w:num>
  <w:num w:numId="4" w16cid:durableId="539051581">
    <w:abstractNumId w:val="0"/>
  </w:num>
  <w:num w:numId="5" w16cid:durableId="12007082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A12"/>
    <w:rsid w:val="00032A10"/>
    <w:rsid w:val="00062549"/>
    <w:rsid w:val="00064E91"/>
    <w:rsid w:val="000670EA"/>
    <w:rsid w:val="00081C67"/>
    <w:rsid w:val="0008622C"/>
    <w:rsid w:val="000B0D88"/>
    <w:rsid w:val="000B5744"/>
    <w:rsid w:val="000C6703"/>
    <w:rsid w:val="000F3609"/>
    <w:rsid w:val="00105CD0"/>
    <w:rsid w:val="00116E81"/>
    <w:rsid w:val="00117F25"/>
    <w:rsid w:val="00123390"/>
    <w:rsid w:val="00157195"/>
    <w:rsid w:val="00164BAD"/>
    <w:rsid w:val="001A31DD"/>
    <w:rsid w:val="001E5206"/>
    <w:rsid w:val="001F19E9"/>
    <w:rsid w:val="00231202"/>
    <w:rsid w:val="00244E6A"/>
    <w:rsid w:val="00261F14"/>
    <w:rsid w:val="0027468C"/>
    <w:rsid w:val="00281053"/>
    <w:rsid w:val="00296E9A"/>
    <w:rsid w:val="002B6D80"/>
    <w:rsid w:val="002D6602"/>
    <w:rsid w:val="002D6FFD"/>
    <w:rsid w:val="002E1896"/>
    <w:rsid w:val="002F3AF2"/>
    <w:rsid w:val="002F534D"/>
    <w:rsid w:val="00312161"/>
    <w:rsid w:val="00331997"/>
    <w:rsid w:val="00351986"/>
    <w:rsid w:val="00370046"/>
    <w:rsid w:val="00373EFA"/>
    <w:rsid w:val="00376438"/>
    <w:rsid w:val="003B176C"/>
    <w:rsid w:val="003C2D53"/>
    <w:rsid w:val="003D273E"/>
    <w:rsid w:val="003D7838"/>
    <w:rsid w:val="003F41FD"/>
    <w:rsid w:val="00404EC3"/>
    <w:rsid w:val="004154EC"/>
    <w:rsid w:val="004337EC"/>
    <w:rsid w:val="00447B6F"/>
    <w:rsid w:val="004506FA"/>
    <w:rsid w:val="004510F8"/>
    <w:rsid w:val="004B5B3B"/>
    <w:rsid w:val="004C025D"/>
    <w:rsid w:val="004C38A4"/>
    <w:rsid w:val="004F2F72"/>
    <w:rsid w:val="005257B8"/>
    <w:rsid w:val="00525A69"/>
    <w:rsid w:val="005321C7"/>
    <w:rsid w:val="005421C9"/>
    <w:rsid w:val="00546D82"/>
    <w:rsid w:val="00556DAA"/>
    <w:rsid w:val="005600EB"/>
    <w:rsid w:val="00570A12"/>
    <w:rsid w:val="00582E73"/>
    <w:rsid w:val="005B0B55"/>
    <w:rsid w:val="005B1378"/>
    <w:rsid w:val="005D32D2"/>
    <w:rsid w:val="005D4FA0"/>
    <w:rsid w:val="005E0473"/>
    <w:rsid w:val="005F0AFF"/>
    <w:rsid w:val="00637B52"/>
    <w:rsid w:val="00653D42"/>
    <w:rsid w:val="0068763E"/>
    <w:rsid w:val="00696751"/>
    <w:rsid w:val="006D6545"/>
    <w:rsid w:val="006F0AA3"/>
    <w:rsid w:val="007063F4"/>
    <w:rsid w:val="00737104"/>
    <w:rsid w:val="00740DF3"/>
    <w:rsid w:val="007553D3"/>
    <w:rsid w:val="0075764C"/>
    <w:rsid w:val="00773D43"/>
    <w:rsid w:val="007761B6"/>
    <w:rsid w:val="0078579D"/>
    <w:rsid w:val="00785BAB"/>
    <w:rsid w:val="007A283F"/>
    <w:rsid w:val="007B2249"/>
    <w:rsid w:val="007D02FD"/>
    <w:rsid w:val="007E2C8D"/>
    <w:rsid w:val="00800C99"/>
    <w:rsid w:val="008033E2"/>
    <w:rsid w:val="008272E2"/>
    <w:rsid w:val="00827DBB"/>
    <w:rsid w:val="00843D6D"/>
    <w:rsid w:val="008613B7"/>
    <w:rsid w:val="00881F00"/>
    <w:rsid w:val="008820EE"/>
    <w:rsid w:val="008A6F12"/>
    <w:rsid w:val="008B49C6"/>
    <w:rsid w:val="008C0E74"/>
    <w:rsid w:val="008C7D1C"/>
    <w:rsid w:val="008E6FF6"/>
    <w:rsid w:val="008F2751"/>
    <w:rsid w:val="009115DD"/>
    <w:rsid w:val="009121D6"/>
    <w:rsid w:val="009241EE"/>
    <w:rsid w:val="009421BB"/>
    <w:rsid w:val="00955018"/>
    <w:rsid w:val="009902A4"/>
    <w:rsid w:val="009968D1"/>
    <w:rsid w:val="009B03B1"/>
    <w:rsid w:val="009D5AF6"/>
    <w:rsid w:val="009D76A7"/>
    <w:rsid w:val="009D7CEF"/>
    <w:rsid w:val="00A13A12"/>
    <w:rsid w:val="00A32DD5"/>
    <w:rsid w:val="00A36D52"/>
    <w:rsid w:val="00A44532"/>
    <w:rsid w:val="00A53DFE"/>
    <w:rsid w:val="00A61C23"/>
    <w:rsid w:val="00A75ABE"/>
    <w:rsid w:val="00A950DA"/>
    <w:rsid w:val="00AA45CE"/>
    <w:rsid w:val="00AB5C71"/>
    <w:rsid w:val="00AC0E40"/>
    <w:rsid w:val="00AC55C0"/>
    <w:rsid w:val="00AF206E"/>
    <w:rsid w:val="00B017B8"/>
    <w:rsid w:val="00B2452C"/>
    <w:rsid w:val="00B33C3F"/>
    <w:rsid w:val="00B409CA"/>
    <w:rsid w:val="00B50E76"/>
    <w:rsid w:val="00B812C3"/>
    <w:rsid w:val="00B97F1F"/>
    <w:rsid w:val="00BB1505"/>
    <w:rsid w:val="00BC708F"/>
    <w:rsid w:val="00BD4FAF"/>
    <w:rsid w:val="00BF0FB6"/>
    <w:rsid w:val="00C110A7"/>
    <w:rsid w:val="00C66465"/>
    <w:rsid w:val="00C85E12"/>
    <w:rsid w:val="00C93D3D"/>
    <w:rsid w:val="00C95FA5"/>
    <w:rsid w:val="00CC03E3"/>
    <w:rsid w:val="00CF0DAF"/>
    <w:rsid w:val="00CF50CC"/>
    <w:rsid w:val="00D03CBE"/>
    <w:rsid w:val="00D168FA"/>
    <w:rsid w:val="00D4388D"/>
    <w:rsid w:val="00DA439C"/>
    <w:rsid w:val="00DD218B"/>
    <w:rsid w:val="00DD71BE"/>
    <w:rsid w:val="00E31571"/>
    <w:rsid w:val="00E4779E"/>
    <w:rsid w:val="00E76192"/>
    <w:rsid w:val="00E9295E"/>
    <w:rsid w:val="00EB0BEC"/>
    <w:rsid w:val="00EC0306"/>
    <w:rsid w:val="00EC24E6"/>
    <w:rsid w:val="00ED25AE"/>
    <w:rsid w:val="00ED7300"/>
    <w:rsid w:val="00EF6DD9"/>
    <w:rsid w:val="00F02DFF"/>
    <w:rsid w:val="00FD4C80"/>
    <w:rsid w:val="00FE7357"/>
    <w:rsid w:val="00FE7940"/>
    <w:rsid w:val="00FF159D"/>
    <w:rsid w:val="00FF6469"/>
    <w:rsid w:val="38FAC08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2E7F32"/>
  <w15:chartTrackingRefBased/>
  <w15:docId w15:val="{281E28EE-7E20-4CE2-B6B5-674934778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0A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70A12"/>
  </w:style>
  <w:style w:type="paragraph" w:styleId="Footer">
    <w:name w:val="footer"/>
    <w:basedOn w:val="Normal"/>
    <w:link w:val="FooterChar"/>
    <w:uiPriority w:val="99"/>
    <w:unhideWhenUsed/>
    <w:rsid w:val="00570A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0A12"/>
  </w:style>
  <w:style w:type="character" w:styleId="Hyperlink">
    <w:name w:val="Hyperlink"/>
    <w:basedOn w:val="DefaultParagraphFont"/>
    <w:uiPriority w:val="99"/>
    <w:unhideWhenUsed/>
    <w:rsid w:val="00570A12"/>
    <w:rPr>
      <w:color w:val="0563C1" w:themeColor="hyperlink"/>
      <w:u w:val="single"/>
    </w:rPr>
  </w:style>
  <w:style w:type="character" w:styleId="UnresolvedMention">
    <w:name w:val="Unresolved Mention"/>
    <w:basedOn w:val="DefaultParagraphFont"/>
    <w:uiPriority w:val="99"/>
    <w:semiHidden/>
    <w:unhideWhenUsed/>
    <w:rsid w:val="00570A12"/>
    <w:rPr>
      <w:color w:val="605E5C"/>
      <w:shd w:val="clear" w:color="auto" w:fill="E1DFDD"/>
    </w:rPr>
  </w:style>
  <w:style w:type="paragraph" w:styleId="NormalWeb">
    <w:name w:val="Normal (Web)"/>
    <w:basedOn w:val="Normal"/>
    <w:uiPriority w:val="99"/>
    <w:semiHidden/>
    <w:unhideWhenUsed/>
    <w:rsid w:val="00E9295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ainTextChar">
    <w:name w:val="Main Text Char"/>
    <w:link w:val="MainText"/>
    <w:locked/>
    <w:rsid w:val="009D7CEF"/>
    <w:rPr>
      <w:rFonts w:ascii="Garamond" w:hAnsi="Garamond" w:cs="Arial"/>
      <w:color w:val="615C5D"/>
    </w:rPr>
  </w:style>
  <w:style w:type="paragraph" w:customStyle="1" w:styleId="MainText">
    <w:name w:val="Main Text"/>
    <w:basedOn w:val="Normal"/>
    <w:link w:val="MainTextChar"/>
    <w:qFormat/>
    <w:rsid w:val="009D7CEF"/>
    <w:pPr>
      <w:spacing w:after="0" w:line="240" w:lineRule="auto"/>
      <w:jc w:val="both"/>
    </w:pPr>
    <w:rPr>
      <w:rFonts w:ascii="Garamond" w:hAnsi="Garamond" w:cs="Arial"/>
      <w:color w:val="615C5D"/>
    </w:rPr>
  </w:style>
  <w:style w:type="paragraph" w:styleId="ListParagraph">
    <w:name w:val="List Paragraph"/>
    <w:basedOn w:val="Normal"/>
    <w:qFormat/>
    <w:rsid w:val="00231202"/>
    <w:pPr>
      <w:ind w:left="720"/>
      <w:contextualSpacing/>
    </w:pPr>
  </w:style>
  <w:style w:type="table" w:styleId="TableGrid">
    <w:name w:val="Table Grid"/>
    <w:basedOn w:val="TableNormal"/>
    <w:uiPriority w:val="39"/>
    <w:rsid w:val="00447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8986761">
      <w:bodyDiv w:val="1"/>
      <w:marLeft w:val="0"/>
      <w:marRight w:val="0"/>
      <w:marTop w:val="0"/>
      <w:marBottom w:val="0"/>
      <w:divBdr>
        <w:top w:val="none" w:sz="0" w:space="0" w:color="auto"/>
        <w:left w:val="none" w:sz="0" w:space="0" w:color="auto"/>
        <w:bottom w:val="none" w:sz="0" w:space="0" w:color="auto"/>
        <w:right w:val="none" w:sz="0" w:space="0" w:color="auto"/>
      </w:divBdr>
    </w:div>
    <w:div w:id="834154460">
      <w:bodyDiv w:val="1"/>
      <w:marLeft w:val="0"/>
      <w:marRight w:val="0"/>
      <w:marTop w:val="0"/>
      <w:marBottom w:val="0"/>
      <w:divBdr>
        <w:top w:val="none" w:sz="0" w:space="0" w:color="auto"/>
        <w:left w:val="none" w:sz="0" w:space="0" w:color="auto"/>
        <w:bottom w:val="none" w:sz="0" w:space="0" w:color="auto"/>
        <w:right w:val="none" w:sz="0" w:space="0" w:color="auto"/>
      </w:divBdr>
    </w:div>
    <w:div w:id="1809932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hart" Target="charts/chart3.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chart" Target="charts/chart2.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https://stvincentdepaulsociety.sharepoint.com/HR/Payroll%20Documents/Payroll/Gender%20Pay%20Gap/April%202024/Gender%20Pay%20Gap%202024%20Working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stvincentdepaulsociety.sharepoint.com/HR/Payroll%20Documents/Payroll/Gender%20Pay%20Gap/April%202024/Gender%20Pay%20Gap%202024%20Working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stvincentdepaulsociety.sharepoint.com/HR/Payroll%20Documents/Payroll/Gender%20Pay%20Gap/April%202024/Gender%20Pay%20Gap%202024%20Workings.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Gender Breakdown of Full Pay Employees - Total 375</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Calculations!$J$2</c:f>
              <c:strCache>
                <c:ptCount val="1"/>
                <c:pt idx="0">
                  <c:v>Proportion</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0755-4213-93B0-CF30F35375D4}"/>
              </c:ext>
            </c:extLst>
          </c:dPt>
          <c:dPt>
            <c:idx val="1"/>
            <c:bubble3D val="0"/>
            <c:spPr>
              <a:solidFill>
                <a:schemeClr val="accent2">
                  <a:lumMod val="60000"/>
                  <a:lumOff val="40000"/>
                </a:schemeClr>
              </a:solidFill>
              <a:ln w="19050">
                <a:solidFill>
                  <a:schemeClr val="lt1"/>
                </a:solidFill>
              </a:ln>
              <a:effectLst/>
            </c:spPr>
            <c:extLst>
              <c:ext xmlns:c16="http://schemas.microsoft.com/office/drawing/2014/chart" uri="{C3380CC4-5D6E-409C-BE32-E72D297353CC}">
                <c16:uniqueId val="{00000003-0755-4213-93B0-CF30F35375D4}"/>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Calculations!$I$3:$I$4</c:f>
              <c:strCache>
                <c:ptCount val="2"/>
                <c:pt idx="0">
                  <c:v>Male</c:v>
                </c:pt>
                <c:pt idx="1">
                  <c:v>Female</c:v>
                </c:pt>
              </c:strCache>
            </c:strRef>
          </c:cat>
          <c:val>
            <c:numRef>
              <c:f>Calculations!$J$3:$J$4</c:f>
              <c:numCache>
                <c:formatCode>0%</c:formatCode>
                <c:ptCount val="2"/>
                <c:pt idx="0">
                  <c:v>0.32</c:v>
                </c:pt>
                <c:pt idx="1">
                  <c:v>0.68</c:v>
                </c:pt>
              </c:numCache>
            </c:numRef>
          </c:val>
          <c:extLst>
            <c:ext xmlns:c16="http://schemas.microsoft.com/office/drawing/2014/chart" uri="{C3380CC4-5D6E-409C-BE32-E72D297353CC}">
              <c16:uniqueId val="{00000004-0755-4213-93B0-CF30F35375D4}"/>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6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Proportion of Males &amp; Females</a:t>
            </a:r>
            <a:r>
              <a:rPr lang="en-GB" baseline="0"/>
              <a:t> in Pay Quartiles (%)</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GB"/>
        </a:p>
      </c:txPr>
    </c:title>
    <c:autoTitleDeleted val="0"/>
    <c:plotArea>
      <c:layout/>
      <c:barChart>
        <c:barDir val="bar"/>
        <c:grouping val="clustered"/>
        <c:varyColors val="0"/>
        <c:ser>
          <c:idx val="0"/>
          <c:order val="0"/>
          <c:tx>
            <c:strRef>
              <c:f>Calculations!$H$8</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Calculations!$G$9:$G$12</c:f>
              <c:strCache>
                <c:ptCount val="4"/>
                <c:pt idx="0">
                  <c:v>Lower Quartile</c:v>
                </c:pt>
                <c:pt idx="1">
                  <c:v>Lower Middle Quartile</c:v>
                </c:pt>
                <c:pt idx="2">
                  <c:v>Upper Middle Quartile</c:v>
                </c:pt>
                <c:pt idx="3">
                  <c:v>Upper Quartile</c:v>
                </c:pt>
              </c:strCache>
            </c:strRef>
          </c:cat>
          <c:val>
            <c:numRef>
              <c:f>Calculations!$H$9:$H$12</c:f>
              <c:numCache>
                <c:formatCode>0.0%</c:formatCode>
                <c:ptCount val="4"/>
                <c:pt idx="0" formatCode="0%">
                  <c:v>0.34</c:v>
                </c:pt>
                <c:pt idx="1">
                  <c:v>0.372</c:v>
                </c:pt>
                <c:pt idx="2">
                  <c:v>0.23400000000000001</c:v>
                </c:pt>
                <c:pt idx="3">
                  <c:v>0.33300000000000002</c:v>
                </c:pt>
              </c:numCache>
            </c:numRef>
          </c:val>
          <c:extLst>
            <c:ext xmlns:c16="http://schemas.microsoft.com/office/drawing/2014/chart" uri="{C3380CC4-5D6E-409C-BE32-E72D297353CC}">
              <c16:uniqueId val="{00000000-30C1-489A-9404-D9E0E7A0FD66}"/>
            </c:ext>
          </c:extLst>
        </c:ser>
        <c:ser>
          <c:idx val="1"/>
          <c:order val="1"/>
          <c:tx>
            <c:strRef>
              <c:f>Calculations!$I$8</c:f>
              <c:strCache>
                <c:ptCount val="1"/>
                <c:pt idx="0">
                  <c:v>Female</c:v>
                </c:pt>
              </c:strCache>
            </c:strRef>
          </c:tx>
          <c:spPr>
            <a:solidFill>
              <a:schemeClr val="accent1">
                <a:lumMod val="40000"/>
                <a:lumOff val="60000"/>
              </a:schemeClr>
            </a:solidFill>
            <a:ln>
              <a:noFill/>
            </a:ln>
            <a:effectLst/>
          </c:spPr>
          <c:invertIfNegative val="0"/>
          <c:dPt>
            <c:idx val="0"/>
            <c:invertIfNegative val="0"/>
            <c:bubble3D val="0"/>
            <c:spPr>
              <a:solidFill>
                <a:schemeClr val="accent2">
                  <a:lumMod val="60000"/>
                  <a:lumOff val="40000"/>
                </a:schemeClr>
              </a:solidFill>
              <a:ln>
                <a:noFill/>
              </a:ln>
              <a:effectLst/>
            </c:spPr>
            <c:extLst>
              <c:ext xmlns:c16="http://schemas.microsoft.com/office/drawing/2014/chart" uri="{C3380CC4-5D6E-409C-BE32-E72D297353CC}">
                <c16:uniqueId val="{00000005-30C1-489A-9404-D9E0E7A0FD66}"/>
              </c:ext>
            </c:extLst>
          </c:dPt>
          <c:dPt>
            <c:idx val="1"/>
            <c:invertIfNegative val="0"/>
            <c:bubble3D val="0"/>
            <c:spPr>
              <a:solidFill>
                <a:schemeClr val="accent2">
                  <a:lumMod val="60000"/>
                  <a:lumOff val="40000"/>
                </a:schemeClr>
              </a:solidFill>
              <a:ln>
                <a:noFill/>
              </a:ln>
              <a:effectLst/>
            </c:spPr>
            <c:extLst>
              <c:ext xmlns:c16="http://schemas.microsoft.com/office/drawing/2014/chart" uri="{C3380CC4-5D6E-409C-BE32-E72D297353CC}">
                <c16:uniqueId val="{00000002-30C1-489A-9404-D9E0E7A0FD66}"/>
              </c:ext>
            </c:extLst>
          </c:dPt>
          <c:dPt>
            <c:idx val="2"/>
            <c:invertIfNegative val="0"/>
            <c:bubble3D val="0"/>
            <c:spPr>
              <a:solidFill>
                <a:schemeClr val="accent2">
                  <a:lumMod val="60000"/>
                  <a:lumOff val="40000"/>
                </a:schemeClr>
              </a:solidFill>
              <a:ln>
                <a:noFill/>
              </a:ln>
              <a:effectLst/>
            </c:spPr>
            <c:extLst>
              <c:ext xmlns:c16="http://schemas.microsoft.com/office/drawing/2014/chart" uri="{C3380CC4-5D6E-409C-BE32-E72D297353CC}">
                <c16:uniqueId val="{00000003-30C1-489A-9404-D9E0E7A0FD66}"/>
              </c:ext>
            </c:extLst>
          </c:dPt>
          <c:dPt>
            <c:idx val="3"/>
            <c:invertIfNegative val="0"/>
            <c:bubble3D val="0"/>
            <c:spPr>
              <a:solidFill>
                <a:schemeClr val="accent2">
                  <a:lumMod val="60000"/>
                  <a:lumOff val="40000"/>
                </a:schemeClr>
              </a:solidFill>
              <a:ln>
                <a:noFill/>
              </a:ln>
              <a:effectLst/>
            </c:spPr>
            <c:extLst>
              <c:ext xmlns:c16="http://schemas.microsoft.com/office/drawing/2014/chart" uri="{C3380CC4-5D6E-409C-BE32-E72D297353CC}">
                <c16:uniqueId val="{00000004-30C1-489A-9404-D9E0E7A0FD66}"/>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Calculations!$G$9:$G$12</c:f>
              <c:strCache>
                <c:ptCount val="4"/>
                <c:pt idx="0">
                  <c:v>Lower Quartile</c:v>
                </c:pt>
                <c:pt idx="1">
                  <c:v>Lower Middle Quartile</c:v>
                </c:pt>
                <c:pt idx="2">
                  <c:v>Upper Middle Quartile</c:v>
                </c:pt>
                <c:pt idx="3">
                  <c:v>Upper Quartile</c:v>
                </c:pt>
              </c:strCache>
            </c:strRef>
          </c:cat>
          <c:val>
            <c:numRef>
              <c:f>Calculations!$I$9:$I$12</c:f>
              <c:numCache>
                <c:formatCode>0.0%</c:formatCode>
                <c:ptCount val="4"/>
                <c:pt idx="0" formatCode="0%">
                  <c:v>0.66</c:v>
                </c:pt>
                <c:pt idx="1">
                  <c:v>0.628</c:v>
                </c:pt>
                <c:pt idx="2">
                  <c:v>0.76600000000000001</c:v>
                </c:pt>
                <c:pt idx="3">
                  <c:v>0.66700000000000004</c:v>
                </c:pt>
              </c:numCache>
            </c:numRef>
          </c:val>
          <c:extLst>
            <c:ext xmlns:c16="http://schemas.microsoft.com/office/drawing/2014/chart" uri="{C3380CC4-5D6E-409C-BE32-E72D297353CC}">
              <c16:uniqueId val="{00000001-30C1-489A-9404-D9E0E7A0FD66}"/>
            </c:ext>
          </c:extLst>
        </c:ser>
        <c:dLbls>
          <c:dLblPos val="outEnd"/>
          <c:showLegendKey val="0"/>
          <c:showVal val="1"/>
          <c:showCatName val="0"/>
          <c:showSerName val="0"/>
          <c:showPercent val="0"/>
          <c:showBubbleSize val="0"/>
        </c:dLbls>
        <c:gapWidth val="182"/>
        <c:axId val="813301840"/>
        <c:axId val="813303760"/>
      </c:barChart>
      <c:catAx>
        <c:axId val="81330184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13303760"/>
        <c:crosses val="autoZero"/>
        <c:auto val="1"/>
        <c:lblAlgn val="ctr"/>
        <c:lblOffset val="100"/>
        <c:noMultiLvlLbl val="0"/>
      </c:catAx>
      <c:valAx>
        <c:axId val="813303760"/>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133018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Proportion of Employees</a:t>
            </a:r>
            <a:r>
              <a:rPr lang="en-US" baseline="0"/>
              <a:t> Paid a Bonus in the 12 Months ending 5th April 2024</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Calculations!$C$17</c:f>
              <c:strCache>
                <c:ptCount val="1"/>
                <c:pt idx="0">
                  <c:v>Proportion</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80D8-488C-9958-D864CA7E8322}"/>
              </c:ext>
            </c:extLst>
          </c:dPt>
          <c:dPt>
            <c:idx val="1"/>
            <c:bubble3D val="0"/>
            <c:spPr>
              <a:solidFill>
                <a:schemeClr val="accent2">
                  <a:lumMod val="60000"/>
                  <a:lumOff val="40000"/>
                </a:schemeClr>
              </a:solidFill>
              <a:ln w="19050">
                <a:solidFill>
                  <a:schemeClr val="lt1"/>
                </a:solidFill>
              </a:ln>
              <a:effectLst/>
            </c:spPr>
            <c:extLst>
              <c:ext xmlns:c16="http://schemas.microsoft.com/office/drawing/2014/chart" uri="{C3380CC4-5D6E-409C-BE32-E72D297353CC}">
                <c16:uniqueId val="{00000003-80D8-488C-9958-D864CA7E8322}"/>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Calculations!$B$18:$B$19</c:f>
              <c:strCache>
                <c:ptCount val="2"/>
                <c:pt idx="0">
                  <c:v>Male</c:v>
                </c:pt>
                <c:pt idx="1">
                  <c:v>Female</c:v>
                </c:pt>
              </c:strCache>
            </c:strRef>
          </c:cat>
          <c:val>
            <c:numRef>
              <c:f>Calculations!$C$18:$C$19</c:f>
              <c:numCache>
                <c:formatCode>0.00%</c:formatCode>
                <c:ptCount val="2"/>
                <c:pt idx="0">
                  <c:v>3.2000000000000001E-2</c:v>
                </c:pt>
                <c:pt idx="1">
                  <c:v>2.1100000000000001E-2</c:v>
                </c:pt>
              </c:numCache>
            </c:numRef>
          </c:val>
          <c:extLst>
            <c:ext xmlns:c16="http://schemas.microsoft.com/office/drawing/2014/chart" uri="{C3380CC4-5D6E-409C-BE32-E72D297353CC}">
              <c16:uniqueId val="{00000004-80D8-488C-9958-D864CA7E8322}"/>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01CC3B30246944F91C9E7E98B90D2B2" ma:contentTypeVersion="18" ma:contentTypeDescription="Create a new document." ma:contentTypeScope="" ma:versionID="c85539bc85900794990f70ab59400a64">
  <xsd:schema xmlns:xsd="http://www.w3.org/2001/XMLSchema" xmlns:xs="http://www.w3.org/2001/XMLSchema" xmlns:p="http://schemas.microsoft.com/office/2006/metadata/properties" xmlns:ns2="810649fa-5376-4e3e-ab53-abf7d8410e4c" xmlns:ns3="bd772d68-721b-4b43-b5b7-a43c4a09c311" xmlns:ns4="3a9a9d37-81da-4a68-b11c-9463183c09b8" targetNamespace="http://schemas.microsoft.com/office/2006/metadata/properties" ma:root="true" ma:fieldsID="b8a4de8923806612adc652e55ebfb5b4" ns2:_="" ns3:_="" ns4:_="">
    <xsd:import namespace="810649fa-5376-4e3e-ab53-abf7d8410e4c"/>
    <xsd:import namespace="bd772d68-721b-4b43-b5b7-a43c4a09c311"/>
    <xsd:import namespace="3a9a9d37-81da-4a68-b11c-9463183c09b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0649fa-5376-4e3e-ab53-abf7d8410e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99432c2-4521-4875-abf8-199fed05e37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d772d68-721b-4b43-b5b7-a43c4a09c31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a9a9d37-81da-4a68-b11c-9463183c09b8"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13cf8700-bb15-4096-81f7-874ae5245399}" ma:internalName="TaxCatchAll" ma:showField="CatchAllData" ma:web="3a9a9d37-81da-4a68-b11c-9463183c09b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3a9a9d37-81da-4a68-b11c-9463183c09b8" xsi:nil="true"/>
    <lcf76f155ced4ddcb4097134ff3c332f xmlns="810649fa-5376-4e3e-ab53-abf7d8410e4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06562BD-77DF-4D55-AE33-0256378C6251}">
  <ds:schemaRefs>
    <ds:schemaRef ds:uri="http://schemas.microsoft.com/sharepoint/v3/contenttype/forms"/>
  </ds:schemaRefs>
</ds:datastoreItem>
</file>

<file path=customXml/itemProps2.xml><?xml version="1.0" encoding="utf-8"?>
<ds:datastoreItem xmlns:ds="http://schemas.openxmlformats.org/officeDocument/2006/customXml" ds:itemID="{E2A04835-C9BC-442A-8220-1E56BE24E6D4}">
  <ds:schemaRefs>
    <ds:schemaRef ds:uri="http://schemas.openxmlformats.org/officeDocument/2006/bibliography"/>
  </ds:schemaRefs>
</ds:datastoreItem>
</file>

<file path=customXml/itemProps3.xml><?xml version="1.0" encoding="utf-8"?>
<ds:datastoreItem xmlns:ds="http://schemas.openxmlformats.org/officeDocument/2006/customXml" ds:itemID="{9FE3C4C1-6CEE-4FC7-B418-140DE761AD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0649fa-5376-4e3e-ab53-abf7d8410e4c"/>
    <ds:schemaRef ds:uri="bd772d68-721b-4b43-b5b7-a43c4a09c311"/>
    <ds:schemaRef ds:uri="3a9a9d37-81da-4a68-b11c-9463183c09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39DDD1-E98D-4022-BFDB-452E26CD33D6}">
  <ds:schemaRefs>
    <ds:schemaRef ds:uri="http://schemas.microsoft.com/office/2006/metadata/properties"/>
    <ds:schemaRef ds:uri="http://schemas.microsoft.com/office/infopath/2007/PartnerControls"/>
    <ds:schemaRef ds:uri="3a9a9d37-81da-4a68-b11c-9463183c09b8"/>
    <ds:schemaRef ds:uri="810649fa-5376-4e3e-ab53-abf7d8410e4c"/>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4</Pages>
  <Words>570</Words>
  <Characters>3252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Crookes</dc:creator>
  <cp:keywords/>
  <dc:description/>
  <cp:lastModifiedBy>Charlotte Fry</cp:lastModifiedBy>
  <cp:revision>82</cp:revision>
  <dcterms:created xsi:type="dcterms:W3CDTF">2025-04-03T15:49:00Z</dcterms:created>
  <dcterms:modified xsi:type="dcterms:W3CDTF">2025-04-04T07:52:00Z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0x010100601CC3B30246944F91C9E7E98B90D2B2</vt:lpwstr>
  </property>
  <property fmtid="{D5CDD505-2E9C-101B-9397-08002B2CF9AE}" pid="3" name="MediaServiceImageTags">
    <vt:lpwstr/>
  </property>
</Properties>
</file>