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B6215" w14:textId="1C5E93BA" w:rsidR="00322EC5" w:rsidRPr="00322EC5" w:rsidRDefault="00322EC5" w:rsidP="00322EC5">
      <w:pPr>
        <w:jc w:val="center"/>
        <w:rPr>
          <w:b/>
          <w:bCs/>
          <w:lang w:val="fr-FR"/>
        </w:rPr>
      </w:pPr>
      <w:r w:rsidRPr="00322EC5">
        <w:rPr>
          <w:b/>
          <w:bCs/>
          <w:lang w:val="fr-FR"/>
        </w:rPr>
        <w:t>St Vincent de Paul AI Usage Statement</w:t>
      </w:r>
    </w:p>
    <w:p w14:paraId="14CEC095" w14:textId="77777777" w:rsidR="00322EC5" w:rsidRPr="00322EC5" w:rsidRDefault="00322EC5" w:rsidP="00322EC5">
      <w:pPr>
        <w:rPr>
          <w:b/>
          <w:bCs/>
        </w:rPr>
      </w:pPr>
      <w:r w:rsidRPr="00322EC5">
        <w:rPr>
          <w:b/>
          <w:bCs/>
        </w:rPr>
        <w:t>Purpose</w:t>
      </w:r>
    </w:p>
    <w:p w14:paraId="5ABEDEC2" w14:textId="027925C8" w:rsidR="00322EC5" w:rsidRDefault="00322EC5" w:rsidP="00322EC5">
      <w:r>
        <w:t>This statement outlines how the St Vincent de Paul Society</w:t>
      </w:r>
      <w:r w:rsidR="00EF1597">
        <w:t xml:space="preserve"> </w:t>
      </w:r>
      <w:r>
        <w:t>(SVP) uses Artificial Intelligence (AI) to support our mission, enhance operational efficiency, and improve service delivery, while upholding our commitment to transparency, ethics, our values and data protection.</w:t>
      </w:r>
    </w:p>
    <w:p w14:paraId="7533BBEC" w14:textId="3A57BDE4" w:rsidR="00EF1597" w:rsidRPr="00B27C79" w:rsidRDefault="00EF1597" w:rsidP="00322EC5">
      <w:pPr>
        <w:rPr>
          <w:b/>
          <w:bCs/>
        </w:rPr>
      </w:pPr>
      <w:r w:rsidRPr="00B27C79">
        <w:rPr>
          <w:b/>
          <w:bCs/>
        </w:rPr>
        <w:t>Environmental Impact</w:t>
      </w:r>
    </w:p>
    <w:p w14:paraId="0A9BF4B3" w14:textId="7E168FC0" w:rsidR="00EF1597" w:rsidRDefault="00EF1597" w:rsidP="00322EC5">
      <w:r>
        <w:t xml:space="preserve">The SVP is conscious of the </w:t>
      </w:r>
      <w:r w:rsidRPr="00EF1597">
        <w:t>computational power required to train generative AI models that often have billions of parameters</w:t>
      </w:r>
      <w:r>
        <w:t xml:space="preserve"> and </w:t>
      </w:r>
      <w:r w:rsidRPr="00EF1597">
        <w:t xml:space="preserve">can demand </w:t>
      </w:r>
      <w:r>
        <w:t xml:space="preserve">large scale </w:t>
      </w:r>
      <w:r w:rsidRPr="00EF1597">
        <w:t>electricity</w:t>
      </w:r>
      <w:r>
        <w:t xml:space="preserve"> and water</w:t>
      </w:r>
      <w:r w:rsidRPr="00EF1597">
        <w:t>, which leads to increased carbon dioxide emissions and pressures on the electric grid.</w:t>
      </w:r>
      <w:r>
        <w:t xml:space="preserve"> The SVP </w:t>
      </w:r>
      <w:r w:rsidR="00B27C79">
        <w:t>will only use</w:t>
      </w:r>
      <w:r>
        <w:t xml:space="preserve"> AI on a small scale to help only in furthering its charity objects and sees the environment</w:t>
      </w:r>
      <w:r w:rsidR="00B27C79">
        <w:t xml:space="preserve"> as our common home and </w:t>
      </w:r>
      <w:r w:rsidR="00B27C79" w:rsidRPr="00B27C79">
        <w:t>‘The climate is a common good, belonging to all and meant for all’ (Laudato Si`23)</w:t>
      </w:r>
      <w:r w:rsidR="00B27C79">
        <w:t>.</w:t>
      </w:r>
    </w:p>
    <w:p w14:paraId="67748F04" w14:textId="77777777" w:rsidR="00322EC5" w:rsidRPr="00322EC5" w:rsidRDefault="00322EC5" w:rsidP="00322EC5">
      <w:pPr>
        <w:rPr>
          <w:b/>
          <w:bCs/>
        </w:rPr>
      </w:pPr>
      <w:r w:rsidRPr="00322EC5">
        <w:rPr>
          <w:b/>
          <w:bCs/>
        </w:rPr>
        <w:t>Scope</w:t>
      </w:r>
    </w:p>
    <w:p w14:paraId="7D9F84C9" w14:textId="64732C84" w:rsidR="00322EC5" w:rsidRDefault="00322EC5" w:rsidP="00322EC5">
      <w:r>
        <w:t>This policy applies to all trustees, staff, volunteers, contractors, and third-party partners working with or on behalf of the SVP.</w:t>
      </w:r>
    </w:p>
    <w:p w14:paraId="6BB60848" w14:textId="77777777" w:rsidR="00322EC5" w:rsidRPr="00322EC5" w:rsidRDefault="00322EC5" w:rsidP="00322EC5">
      <w:pPr>
        <w:rPr>
          <w:b/>
          <w:bCs/>
        </w:rPr>
      </w:pPr>
      <w:r w:rsidRPr="00322EC5">
        <w:rPr>
          <w:b/>
          <w:bCs/>
        </w:rPr>
        <w:t>Definition of AI</w:t>
      </w:r>
    </w:p>
    <w:p w14:paraId="41689656" w14:textId="77777777" w:rsidR="00322EC5" w:rsidRDefault="00322EC5" w:rsidP="00322EC5">
      <w:r>
        <w:t>AI refers to technologies that enable machines or software to perform tasks typically requiring human intelligence, such as data analysis, decision-making, content generation, and natural language processing.</w:t>
      </w:r>
    </w:p>
    <w:p w14:paraId="407EAFDF" w14:textId="087EDECB" w:rsidR="00322EC5" w:rsidRPr="00322EC5" w:rsidRDefault="00322EC5" w:rsidP="00322EC5">
      <w:pPr>
        <w:rPr>
          <w:b/>
          <w:bCs/>
        </w:rPr>
      </w:pPr>
      <w:r w:rsidRPr="00322EC5">
        <w:rPr>
          <w:b/>
          <w:bCs/>
        </w:rPr>
        <w:t>Approved Uses of AI</w:t>
      </w:r>
    </w:p>
    <w:p w14:paraId="572DD574" w14:textId="77777777" w:rsidR="00322EC5" w:rsidRDefault="00322EC5" w:rsidP="00322EC5">
      <w:pPr>
        <w:ind w:left="720"/>
      </w:pPr>
      <w:r>
        <w:t xml:space="preserve">• </w:t>
      </w:r>
      <w:r>
        <w:tab/>
        <w:t>Content Creation: Drafting fundraising materials, social media posts, and policy documents.</w:t>
      </w:r>
    </w:p>
    <w:p w14:paraId="14629C02" w14:textId="77777777" w:rsidR="00322EC5" w:rsidRDefault="00322EC5" w:rsidP="00322EC5">
      <w:pPr>
        <w:ind w:left="720"/>
      </w:pPr>
      <w:r>
        <w:t xml:space="preserve">• </w:t>
      </w:r>
      <w:r>
        <w:tab/>
        <w:t>Data Analysis: Identifying trends to improve service delivery and resource allocation.</w:t>
      </w:r>
    </w:p>
    <w:p w14:paraId="11D8BC5F" w14:textId="77777777" w:rsidR="00322EC5" w:rsidRDefault="00322EC5" w:rsidP="00322EC5">
      <w:pPr>
        <w:ind w:left="720"/>
      </w:pPr>
      <w:r>
        <w:t xml:space="preserve">• </w:t>
      </w:r>
      <w:r>
        <w:tab/>
        <w:t>Automation: Streamlining administrative tasks to free up staff time for frontline work.</w:t>
      </w:r>
    </w:p>
    <w:p w14:paraId="40B484D2" w14:textId="55D96487" w:rsidR="00322EC5" w:rsidRPr="00322EC5" w:rsidRDefault="00322EC5" w:rsidP="00322EC5">
      <w:pPr>
        <w:rPr>
          <w:b/>
          <w:bCs/>
        </w:rPr>
      </w:pPr>
      <w:r w:rsidRPr="00322EC5">
        <w:rPr>
          <w:b/>
          <w:bCs/>
        </w:rPr>
        <w:t>Ethical Principles</w:t>
      </w:r>
    </w:p>
    <w:p w14:paraId="68583797" w14:textId="77777777" w:rsidR="00322EC5" w:rsidRDefault="00322EC5" w:rsidP="00322EC5">
      <w:pPr>
        <w:ind w:left="720"/>
      </w:pPr>
      <w:r>
        <w:t xml:space="preserve">• </w:t>
      </w:r>
      <w:r>
        <w:tab/>
        <w:t>Human Oversight: AI tools will support—not replace—human decision-making. Final decisions remain the responsibility of designated staff or trustees.</w:t>
      </w:r>
    </w:p>
    <w:p w14:paraId="1B598AC0" w14:textId="77777777" w:rsidR="00322EC5" w:rsidRDefault="00322EC5" w:rsidP="00322EC5">
      <w:pPr>
        <w:ind w:left="720"/>
      </w:pPr>
      <w:r>
        <w:t xml:space="preserve">• </w:t>
      </w:r>
      <w:r>
        <w:tab/>
        <w:t>Transparency: We will clearly disclose when AI-generated content is used in public-facing materials.</w:t>
      </w:r>
    </w:p>
    <w:p w14:paraId="552CBAFF" w14:textId="77777777" w:rsidR="00322EC5" w:rsidRDefault="00322EC5" w:rsidP="00322EC5">
      <w:pPr>
        <w:ind w:left="720"/>
      </w:pPr>
      <w:r>
        <w:lastRenderedPageBreak/>
        <w:t xml:space="preserve">• </w:t>
      </w:r>
      <w:r>
        <w:tab/>
        <w:t>Fairness: We will monitor for bias and ensure AI outputs do not discriminate or misrepresent.</w:t>
      </w:r>
    </w:p>
    <w:p w14:paraId="300E9AE9" w14:textId="77777777" w:rsidR="00322EC5" w:rsidRDefault="00322EC5" w:rsidP="00322EC5">
      <w:pPr>
        <w:ind w:left="720"/>
      </w:pPr>
      <w:r>
        <w:t xml:space="preserve">• </w:t>
      </w:r>
      <w:r>
        <w:tab/>
        <w:t>Accountability: Trustees will review AI usage annually and address any concerns or breaches.</w:t>
      </w:r>
    </w:p>
    <w:p w14:paraId="788469B4" w14:textId="62ED896B" w:rsidR="00322EC5" w:rsidRPr="00322EC5" w:rsidRDefault="00322EC5" w:rsidP="00322EC5">
      <w:pPr>
        <w:rPr>
          <w:b/>
          <w:bCs/>
        </w:rPr>
      </w:pPr>
      <w:r w:rsidRPr="00322EC5">
        <w:rPr>
          <w:b/>
          <w:bCs/>
        </w:rPr>
        <w:t>Data Protection &amp; Security</w:t>
      </w:r>
    </w:p>
    <w:p w14:paraId="0AD81382" w14:textId="77777777" w:rsidR="00322EC5" w:rsidRDefault="00322EC5" w:rsidP="00322EC5">
      <w:pPr>
        <w:ind w:firstLine="720"/>
      </w:pPr>
      <w:r>
        <w:t xml:space="preserve">• </w:t>
      </w:r>
      <w:r>
        <w:tab/>
        <w:t>All AI tools must comply with UK GDPR and relevant data protection laws.</w:t>
      </w:r>
    </w:p>
    <w:p w14:paraId="1E71121C" w14:textId="77777777" w:rsidR="00322EC5" w:rsidRDefault="00322EC5" w:rsidP="00322EC5">
      <w:pPr>
        <w:ind w:left="720"/>
      </w:pPr>
      <w:r>
        <w:t xml:space="preserve">• </w:t>
      </w:r>
      <w:r>
        <w:tab/>
        <w:t>Personal data will only be processed by AI systems when strictly necessary and with appropriate safeguards.</w:t>
      </w:r>
    </w:p>
    <w:p w14:paraId="72D07244" w14:textId="77777777" w:rsidR="00322EC5" w:rsidRDefault="00322EC5" w:rsidP="00322EC5">
      <w:pPr>
        <w:ind w:left="720"/>
      </w:pPr>
      <w:r>
        <w:t xml:space="preserve">• </w:t>
      </w:r>
      <w:r>
        <w:tab/>
        <w:t>AI vendors must meet our standards for cybersecurity and ethical data handling.</w:t>
      </w:r>
    </w:p>
    <w:p w14:paraId="7C643E74" w14:textId="4DBDAA2F" w:rsidR="00322EC5" w:rsidRPr="00322EC5" w:rsidRDefault="00322EC5" w:rsidP="00322EC5">
      <w:pPr>
        <w:rPr>
          <w:b/>
          <w:bCs/>
        </w:rPr>
      </w:pPr>
      <w:r>
        <w:t xml:space="preserve"> </w:t>
      </w:r>
      <w:r w:rsidRPr="00322EC5">
        <w:rPr>
          <w:b/>
          <w:bCs/>
        </w:rPr>
        <w:t>Prohibited Uses</w:t>
      </w:r>
    </w:p>
    <w:p w14:paraId="2CBCF0D0" w14:textId="77777777" w:rsidR="00322EC5" w:rsidRDefault="00322EC5" w:rsidP="00322EC5">
      <w:pPr>
        <w:ind w:left="720"/>
      </w:pPr>
      <w:r>
        <w:t xml:space="preserve">• </w:t>
      </w:r>
      <w:r>
        <w:tab/>
        <w:t>Using AI to make autonomous decisions about beneficiaries without human review.</w:t>
      </w:r>
    </w:p>
    <w:p w14:paraId="676F1B06" w14:textId="77777777" w:rsidR="00322EC5" w:rsidRDefault="00322EC5" w:rsidP="00322EC5">
      <w:pPr>
        <w:ind w:left="720"/>
      </w:pPr>
      <w:r>
        <w:t xml:space="preserve">• </w:t>
      </w:r>
      <w:r>
        <w:tab/>
        <w:t>Deploying AI tools that lack transparency or violate copyright, privacy, or ethical standards.</w:t>
      </w:r>
    </w:p>
    <w:p w14:paraId="2C6CAF9D" w14:textId="77777777" w:rsidR="00322EC5" w:rsidRDefault="00322EC5" w:rsidP="00322EC5">
      <w:pPr>
        <w:ind w:left="720"/>
      </w:pPr>
      <w:r>
        <w:t xml:space="preserve">• </w:t>
      </w:r>
      <w:r>
        <w:tab/>
        <w:t>Relying on AI-generated content without appropriate fact-checking or attribution.</w:t>
      </w:r>
    </w:p>
    <w:p w14:paraId="37E8BBB3" w14:textId="14663EAF" w:rsidR="00322EC5" w:rsidRDefault="00322EC5" w:rsidP="00322EC5">
      <w:pPr>
        <w:pStyle w:val="ListParagraph"/>
        <w:numPr>
          <w:ilvl w:val="0"/>
          <w:numId w:val="2"/>
        </w:numPr>
      </w:pPr>
      <w:r>
        <w:t xml:space="preserve">       Using AI to replace staff or volunteer’s roles </w:t>
      </w:r>
    </w:p>
    <w:p w14:paraId="0C08773E" w14:textId="6F6AB756" w:rsidR="00322EC5" w:rsidRPr="00322EC5" w:rsidRDefault="00322EC5" w:rsidP="00322EC5">
      <w:pPr>
        <w:rPr>
          <w:b/>
          <w:bCs/>
        </w:rPr>
      </w:pPr>
      <w:r w:rsidRPr="00322EC5">
        <w:rPr>
          <w:b/>
          <w:bCs/>
        </w:rPr>
        <w:t>Review &amp; Governance</w:t>
      </w:r>
    </w:p>
    <w:p w14:paraId="3BD336E7" w14:textId="77777777" w:rsidR="00322EC5" w:rsidRDefault="00322EC5" w:rsidP="00322EC5">
      <w:r>
        <w:t>This statement will be reviewed annually by the Board of Trustees. Any updates will reflect changes in technology, regulation, and the needs of our beneficiaries.</w:t>
      </w:r>
    </w:p>
    <w:sectPr w:rsidR="00322EC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0B002" w14:textId="77777777" w:rsidR="00322EC5" w:rsidRDefault="00322EC5" w:rsidP="00322EC5">
      <w:pPr>
        <w:spacing w:after="0" w:line="240" w:lineRule="auto"/>
      </w:pPr>
      <w:r>
        <w:separator/>
      </w:r>
    </w:p>
  </w:endnote>
  <w:endnote w:type="continuationSeparator" w:id="0">
    <w:p w14:paraId="71BDE28D" w14:textId="77777777" w:rsidR="00322EC5" w:rsidRDefault="00322EC5" w:rsidP="00322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CB933" w14:textId="48A97E06" w:rsidR="00322EC5" w:rsidRDefault="00322EC5">
    <w:pPr>
      <w:pStyle w:val="Footer"/>
    </w:pPr>
    <w:r>
      <w:t>Draft Version 0.1 Sept 25 (BW)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727F8" w14:textId="77777777" w:rsidR="00322EC5" w:rsidRDefault="00322EC5" w:rsidP="00322EC5">
      <w:pPr>
        <w:spacing w:after="0" w:line="240" w:lineRule="auto"/>
      </w:pPr>
      <w:r>
        <w:separator/>
      </w:r>
    </w:p>
  </w:footnote>
  <w:footnote w:type="continuationSeparator" w:id="0">
    <w:p w14:paraId="2BB6B9F3" w14:textId="77777777" w:rsidR="00322EC5" w:rsidRDefault="00322EC5" w:rsidP="00322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417A6"/>
    <w:multiLevelType w:val="hybridMultilevel"/>
    <w:tmpl w:val="D10099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EC23B7"/>
    <w:multiLevelType w:val="hybridMultilevel"/>
    <w:tmpl w:val="154ED59E"/>
    <w:lvl w:ilvl="0" w:tplc="594C436C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1718815">
    <w:abstractNumId w:val="0"/>
  </w:num>
  <w:num w:numId="2" w16cid:durableId="273178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C5"/>
    <w:rsid w:val="00322EC5"/>
    <w:rsid w:val="004645E6"/>
    <w:rsid w:val="005B2E0F"/>
    <w:rsid w:val="00B27C79"/>
    <w:rsid w:val="00E77E02"/>
    <w:rsid w:val="00EF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390E9"/>
  <w15:chartTrackingRefBased/>
  <w15:docId w15:val="{292A3FEF-C32C-4FA9-B75E-CBB2DC24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E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E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E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E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E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E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E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E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E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E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E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2E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EC5"/>
  </w:style>
  <w:style w:type="paragraph" w:styleId="Footer">
    <w:name w:val="footer"/>
    <w:basedOn w:val="Normal"/>
    <w:link w:val="FooterChar"/>
    <w:uiPriority w:val="99"/>
    <w:unhideWhenUsed/>
    <w:rsid w:val="00322E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Whittaker</dc:creator>
  <cp:keywords/>
  <dc:description/>
  <cp:lastModifiedBy>Megan Lawrence</cp:lastModifiedBy>
  <cp:revision>2</cp:revision>
  <dcterms:created xsi:type="dcterms:W3CDTF">2025-10-06T13:07:00Z</dcterms:created>
  <dcterms:modified xsi:type="dcterms:W3CDTF">2025-10-06T13:07:00Z</dcterms:modified>
</cp:coreProperties>
</file>